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pPr>
      <w:bookmarkStart w:id="0" w:name="_Hlk73106094"/>
    </w:p>
    <w:p>
      <w:pPr>
        <w:widowControl/>
        <w:adjustRightInd w:val="0"/>
        <w:snapToGrid w:val="0"/>
        <w:rPr>
          <w:rFonts w:eastAsia="宋体"/>
          <w:kern w:val="0"/>
          <w:sz w:val="52"/>
          <w:szCs w:val="52"/>
        </w:rPr>
      </w:pPr>
      <w:r>
        <w:drawing>
          <wp:inline distT="0" distB="0" distL="0" distR="0">
            <wp:extent cx="1276350" cy="1145540"/>
            <wp:effectExtent l="0" t="0" r="0" b="0"/>
            <wp:docPr id="4"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OP2LY(K((CWFBHY((VZ9}7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276350" cy="1145540"/>
                    </a:xfrm>
                    <a:prstGeom prst="rect">
                      <a:avLst/>
                    </a:prstGeom>
                    <a:noFill/>
                    <a:ln>
                      <a:noFill/>
                    </a:ln>
                  </pic:spPr>
                </pic:pic>
              </a:graphicData>
            </a:graphic>
          </wp:inline>
        </w:drawing>
      </w:r>
      <w:bookmarkEnd w:id="0"/>
    </w:p>
    <w:p>
      <w:pPr>
        <w:pStyle w:val="7"/>
        <w:ind w:firstLine="560"/>
      </w:pPr>
    </w:p>
    <w:p>
      <w:pPr>
        <w:widowControl/>
        <w:adjustRightInd w:val="0"/>
        <w:snapToGrid w:val="0"/>
        <w:jc w:val="center"/>
        <w:rPr>
          <w:rFonts w:eastAsia="宋体"/>
          <w:b/>
          <w:bCs/>
          <w:sz w:val="52"/>
          <w:szCs w:val="52"/>
        </w:rPr>
      </w:pPr>
      <w:r>
        <w:rPr>
          <w:rFonts w:eastAsia="宋体"/>
          <w:b/>
          <w:bCs/>
          <w:kern w:val="0"/>
          <w:sz w:val="72"/>
          <w:szCs w:val="72"/>
        </w:rPr>
        <w:t>建设项目环境影响</w:t>
      </w:r>
      <w:r>
        <w:rPr>
          <w:rFonts w:hint="eastAsia" w:eastAsia="宋体"/>
          <w:b/>
          <w:bCs/>
          <w:kern w:val="0"/>
          <w:sz w:val="72"/>
          <w:szCs w:val="72"/>
        </w:rPr>
        <w:t>报告</w:t>
      </w:r>
      <w:r>
        <w:rPr>
          <w:rFonts w:eastAsia="宋体"/>
          <w:b/>
          <w:bCs/>
          <w:kern w:val="0"/>
          <w:sz w:val="72"/>
          <w:szCs w:val="72"/>
        </w:rPr>
        <w:t>表</w:t>
      </w:r>
    </w:p>
    <w:p>
      <w:pPr>
        <w:adjustRightInd w:val="0"/>
        <w:snapToGrid w:val="0"/>
        <w:jc w:val="center"/>
        <w:rPr>
          <w:rFonts w:eastAsia="宋体"/>
          <w:sz w:val="48"/>
          <w:szCs w:val="48"/>
        </w:rPr>
      </w:pPr>
      <w:r>
        <w:rPr>
          <w:rFonts w:hint="eastAsia" w:eastAsia="宋体"/>
          <w:b/>
          <w:sz w:val="44"/>
          <w:szCs w:val="44"/>
        </w:rPr>
        <w:t>（污染影响类</w:t>
      </w:r>
      <w:r>
        <w:rPr>
          <w:rFonts w:hint="eastAsia" w:hAnsi="宋体" w:eastAsia="宋体"/>
          <w:b/>
          <w:sz w:val="44"/>
          <w:szCs w:val="44"/>
        </w:rPr>
        <w:t>）</w:t>
      </w:r>
    </w:p>
    <w:p>
      <w:pPr>
        <w:adjustRightInd w:val="0"/>
        <w:snapToGrid w:val="0"/>
        <w:rPr>
          <w:rFonts w:eastAsia="宋体"/>
          <w:b/>
          <w:bCs/>
          <w:sz w:val="36"/>
        </w:rPr>
      </w:pPr>
    </w:p>
    <w:p>
      <w:pPr>
        <w:adjustRightInd w:val="0"/>
        <w:snapToGrid w:val="0"/>
        <w:rPr>
          <w:rFonts w:eastAsia="宋体"/>
          <w:b/>
          <w:bCs/>
          <w:sz w:val="36"/>
          <w:u w:val="single"/>
        </w:rPr>
      </w:pPr>
    </w:p>
    <w:p>
      <w:pPr>
        <w:adjustRightInd w:val="0"/>
        <w:snapToGrid w:val="0"/>
        <w:rPr>
          <w:sz w:val="36"/>
          <w:szCs w:val="36"/>
        </w:rPr>
      </w:pPr>
    </w:p>
    <w:p>
      <w:pPr>
        <w:adjustRightInd w:val="0"/>
        <w:snapToGrid w:val="0"/>
        <w:rPr>
          <w:rFonts w:eastAsia="宋体"/>
          <w:b/>
          <w:bCs/>
          <w:sz w:val="36"/>
          <w:u w:val="single"/>
        </w:rPr>
      </w:pPr>
    </w:p>
    <w:p>
      <w:pPr>
        <w:adjustRightInd w:val="0"/>
        <w:snapToGrid w:val="0"/>
        <w:ind w:left="1626" w:hanging="1626" w:hangingChars="450"/>
        <w:jc w:val="distribute"/>
        <w:rPr>
          <w:rFonts w:eastAsia="仿宋"/>
          <w:b/>
          <w:spacing w:val="-12"/>
          <w:sz w:val="36"/>
          <w:szCs w:val="36"/>
          <w:u w:val="single"/>
        </w:rPr>
      </w:pPr>
      <w:r>
        <w:rPr>
          <w:rFonts w:ascii="宋体" w:hAnsi="宋体" w:eastAsia="宋体"/>
          <w:b/>
          <w:sz w:val="36"/>
          <w:szCs w:val="36"/>
        </w:rPr>
        <w:t>项目名称</w:t>
      </w:r>
      <w:r>
        <w:rPr>
          <w:rFonts w:hint="eastAsia" w:ascii="宋体" w:hAnsi="宋体" w:eastAsia="宋体"/>
          <w:b/>
          <w:sz w:val="36"/>
          <w:szCs w:val="36"/>
        </w:rPr>
        <w:t>：</w:t>
      </w:r>
      <w:r>
        <w:rPr>
          <w:rFonts w:hint="eastAsia"/>
          <w:b/>
          <w:sz w:val="36"/>
          <w:szCs w:val="36"/>
          <w:u w:val="single"/>
        </w:rPr>
        <w:t>联胜九年一贯制学校项目</w:t>
      </w:r>
    </w:p>
    <w:p>
      <w:pPr>
        <w:adjustRightInd w:val="0"/>
        <w:snapToGrid w:val="0"/>
        <w:jc w:val="distribute"/>
        <w:rPr>
          <w:rFonts w:eastAsia="仿宋"/>
          <w:b/>
          <w:sz w:val="36"/>
          <w:szCs w:val="36"/>
          <w:u w:val="single"/>
        </w:rPr>
      </w:pPr>
      <w:r>
        <w:rPr>
          <w:rFonts w:ascii="宋体" w:hAnsi="宋体" w:eastAsia="宋体"/>
          <w:b/>
          <w:sz w:val="36"/>
          <w:szCs w:val="36"/>
        </w:rPr>
        <w:t>建设单位</w:t>
      </w:r>
      <w:r>
        <w:rPr>
          <w:rFonts w:hint="eastAsia" w:ascii="宋体" w:hAnsi="宋体" w:eastAsia="宋体"/>
          <w:b/>
          <w:sz w:val="36"/>
          <w:szCs w:val="36"/>
        </w:rPr>
        <w:t>（</w:t>
      </w:r>
      <w:r>
        <w:rPr>
          <w:rFonts w:ascii="宋体" w:hAnsi="宋体" w:eastAsia="宋体"/>
          <w:b/>
          <w:sz w:val="36"/>
          <w:szCs w:val="36"/>
        </w:rPr>
        <w:t>盖章</w:t>
      </w:r>
      <w:r>
        <w:rPr>
          <w:rFonts w:hint="eastAsia" w:ascii="宋体" w:hAnsi="宋体" w:eastAsia="宋体"/>
          <w:b/>
          <w:sz w:val="36"/>
          <w:szCs w:val="36"/>
        </w:rPr>
        <w:t>）</w:t>
      </w:r>
      <w:r>
        <w:rPr>
          <w:rFonts w:ascii="宋体" w:hAnsi="宋体" w:eastAsia="宋体"/>
          <w:b/>
          <w:sz w:val="36"/>
          <w:szCs w:val="36"/>
        </w:rPr>
        <w:t>：</w:t>
      </w:r>
      <w:r>
        <w:rPr>
          <w:rFonts w:hint="eastAsia"/>
          <w:b/>
          <w:sz w:val="36"/>
          <w:szCs w:val="36"/>
          <w:u w:val="single"/>
        </w:rPr>
        <w:t>杭州南苑控股（集团）有限公司</w:t>
      </w:r>
    </w:p>
    <w:p>
      <w:pPr>
        <w:adjustRightInd w:val="0"/>
        <w:snapToGrid w:val="0"/>
        <w:jc w:val="distribute"/>
        <w:rPr>
          <w:rFonts w:eastAsia="宋体"/>
          <w:b/>
          <w:bCs/>
          <w:sz w:val="36"/>
          <w:u w:val="single"/>
        </w:rPr>
      </w:pPr>
      <w:r>
        <w:rPr>
          <w:rFonts w:ascii="宋体" w:hAnsi="宋体" w:eastAsia="宋体"/>
          <w:b/>
          <w:sz w:val="36"/>
          <w:szCs w:val="36"/>
        </w:rPr>
        <w:t>编制日期：</w:t>
      </w:r>
      <w:r>
        <w:rPr>
          <w:rFonts w:eastAsia="仿宋"/>
          <w:b/>
          <w:sz w:val="36"/>
          <w:szCs w:val="36"/>
          <w:u w:val="single"/>
        </w:rPr>
        <w:t>二〇二</w:t>
      </w:r>
      <w:r>
        <w:rPr>
          <w:rFonts w:hint="eastAsia" w:eastAsia="仿宋"/>
          <w:b/>
          <w:sz w:val="36"/>
          <w:szCs w:val="36"/>
          <w:u w:val="single"/>
          <w:lang w:val="en-US" w:eastAsia="zh-CN"/>
        </w:rPr>
        <w:t>四</w:t>
      </w:r>
      <w:r>
        <w:rPr>
          <w:rFonts w:eastAsia="仿宋"/>
          <w:b/>
          <w:sz w:val="36"/>
          <w:szCs w:val="36"/>
          <w:u w:val="single"/>
        </w:rPr>
        <w:t>年</w:t>
      </w:r>
      <w:r>
        <w:rPr>
          <w:rFonts w:hint="eastAsia" w:eastAsia="仿宋"/>
          <w:b/>
          <w:sz w:val="36"/>
          <w:szCs w:val="36"/>
          <w:u w:val="single"/>
          <w:lang w:val="en-US" w:eastAsia="zh-CN"/>
        </w:rPr>
        <w:t>三</w:t>
      </w:r>
      <w:r>
        <w:rPr>
          <w:rFonts w:eastAsia="仿宋"/>
          <w:b/>
          <w:sz w:val="36"/>
          <w:szCs w:val="36"/>
          <w:u w:val="single"/>
        </w:rPr>
        <w:t>月</w:t>
      </w:r>
    </w:p>
    <w:p>
      <w:pPr>
        <w:adjustRightInd w:val="0"/>
        <w:snapToGrid w:val="0"/>
        <w:jc w:val="center"/>
        <w:rPr>
          <w:rFonts w:eastAsia="宋体"/>
          <w:b/>
          <w:bCs/>
          <w:sz w:val="32"/>
          <w:u w:val="single"/>
        </w:rPr>
      </w:pPr>
    </w:p>
    <w:p>
      <w:pPr>
        <w:adjustRightInd w:val="0"/>
        <w:snapToGrid w:val="0"/>
        <w:jc w:val="center"/>
        <w:rPr>
          <w:rFonts w:eastAsia="宋体"/>
          <w:b/>
          <w:bCs/>
          <w:sz w:val="32"/>
          <w:u w:val="single"/>
        </w:rPr>
      </w:pPr>
    </w:p>
    <w:p>
      <w:pPr>
        <w:pStyle w:val="7"/>
        <w:ind w:firstLine="0" w:firstLineChars="0"/>
        <w:jc w:val="center"/>
      </w:pPr>
    </w:p>
    <w:p>
      <w:pPr>
        <w:pStyle w:val="7"/>
        <w:ind w:firstLine="0" w:firstLineChars="0"/>
        <w:jc w:val="center"/>
        <w:rPr>
          <w:b/>
          <w:bCs/>
          <w:sz w:val="32"/>
          <w:u w:val="single"/>
        </w:rPr>
      </w:pPr>
    </w:p>
    <w:p>
      <w:pPr>
        <w:adjustRightInd w:val="0"/>
        <w:snapToGrid w:val="0"/>
        <w:jc w:val="center"/>
        <w:rPr>
          <w:rFonts w:hint="eastAsia" w:ascii="楷体_GB2312" w:eastAsia="楷体_GB2312"/>
          <w:sz w:val="36"/>
          <w:szCs w:val="36"/>
          <w:lang w:eastAsia="zh-CN"/>
        </w:rPr>
        <w:sectPr>
          <w:pgSz w:w="11906" w:h="16838"/>
          <w:pgMar w:top="1440" w:right="1800" w:bottom="1440" w:left="1800" w:header="851" w:footer="992" w:gutter="0"/>
          <w:pgNumType w:fmt="decimal"/>
          <w:cols w:space="425" w:num="1"/>
          <w:docGrid w:type="lines" w:linePitch="312" w:charSpace="0"/>
        </w:sectPr>
      </w:pPr>
      <w:r>
        <w:rPr>
          <w:rFonts w:hint="eastAsia" w:ascii="楷体_GB2312" w:eastAsia="楷体_GB2312"/>
          <w:sz w:val="36"/>
          <w:szCs w:val="36"/>
        </w:rPr>
        <w:t>中华人民共和国生态环境部制</w:t>
      </w:r>
      <w:r>
        <w:rPr>
          <w:rFonts w:hint="eastAsia" w:ascii="楷体_GB2312" w:eastAsia="楷体_GB2312"/>
          <w:sz w:val="36"/>
          <w:szCs w:val="36"/>
          <w:lang w:eastAsia="zh-CN"/>
        </w:rPr>
        <w:drawing>
          <wp:inline distT="0" distB="0" distL="114300" distR="114300">
            <wp:extent cx="5267960" cy="7450455"/>
            <wp:effectExtent l="0" t="0" r="8890" b="17145"/>
            <wp:docPr id="110" name="图片 110" descr="资质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资质页"/>
                    <pic:cNvPicPr>
                      <a:picLocks noChangeAspect="1"/>
                    </pic:cNvPicPr>
                  </pic:nvPicPr>
                  <pic:blipFill>
                    <a:blip r:embed="rId10"/>
                    <a:stretch>
                      <a:fillRect/>
                    </a:stretch>
                  </pic:blipFill>
                  <pic:spPr>
                    <a:xfrm>
                      <a:off x="0" y="0"/>
                      <a:ext cx="5267960" cy="7450455"/>
                    </a:xfrm>
                    <a:prstGeom prst="rect">
                      <a:avLst/>
                    </a:prstGeom>
                  </pic:spPr>
                </pic:pic>
              </a:graphicData>
            </a:graphic>
          </wp:inline>
        </w:drawing>
      </w:r>
    </w:p>
    <w:p>
      <w:pPr>
        <w:pStyle w:val="187"/>
        <w:spacing w:before="0"/>
        <w:jc w:val="center"/>
        <w:rPr>
          <w:rFonts w:ascii="Times New Roman" w:hAnsi="Times New Roman" w:cs="Times New Roman"/>
          <w:color w:val="auto"/>
        </w:rPr>
      </w:pPr>
      <w:r>
        <w:rPr>
          <w:rFonts w:ascii="Times New Roman" w:cs="Times New Roman"/>
          <w:color w:val="auto"/>
          <w:lang w:val="zh-CN"/>
        </w:rPr>
        <w:t>目录</w:t>
      </w:r>
    </w:p>
    <w:p>
      <w:pPr>
        <w:pStyle w:val="22"/>
        <w:tabs>
          <w:tab w:val="left" w:pos="840"/>
          <w:tab w:val="right" w:leader="dot" w:pos="8296"/>
        </w:tabs>
        <w:rPr>
          <w:rFonts w:asciiTheme="minorHAnsi" w:hAnsiTheme="minorHAnsi" w:eastAsiaTheme="minorEastAsia" w:cstheme="minorBidi"/>
          <w:sz w:val="21"/>
          <w:szCs w:val="22"/>
        </w:rPr>
      </w:pPr>
      <w:r>
        <w:fldChar w:fldCharType="begin"/>
      </w:r>
      <w:r>
        <w:instrText xml:space="preserve"> TOC \o "1-3" \h \z \u </w:instrText>
      </w:r>
      <w:r>
        <w:fldChar w:fldCharType="separate"/>
      </w:r>
      <w:r>
        <w:fldChar w:fldCharType="begin"/>
      </w:r>
      <w:r>
        <w:instrText xml:space="preserve"> HYPERLINK \l "_Toc140406077" </w:instrText>
      </w:r>
      <w:r>
        <w:fldChar w:fldCharType="separate"/>
      </w:r>
      <w:r>
        <w:rPr>
          <w:rStyle w:val="38"/>
          <w:rFonts w:hint="eastAsia" w:eastAsia="宋体"/>
          <w:b/>
          <w:bCs/>
          <w:color w:val="auto"/>
        </w:rPr>
        <w:t>一、</w:t>
      </w:r>
      <w:r>
        <w:rPr>
          <w:rFonts w:asciiTheme="minorHAnsi" w:hAnsiTheme="minorHAnsi" w:eastAsiaTheme="minorEastAsia" w:cstheme="minorBidi"/>
          <w:sz w:val="21"/>
          <w:szCs w:val="22"/>
        </w:rPr>
        <w:tab/>
      </w:r>
      <w:r>
        <w:rPr>
          <w:rStyle w:val="38"/>
          <w:rFonts w:hint="eastAsia" w:eastAsia="宋体"/>
          <w:b/>
          <w:bCs/>
          <w:color w:val="auto"/>
        </w:rPr>
        <w:t>建设项目基本情况</w:t>
      </w:r>
      <w:r>
        <w:tab/>
      </w:r>
      <w:r>
        <w:fldChar w:fldCharType="begin"/>
      </w:r>
      <w:r>
        <w:instrText xml:space="preserve"> PAGEREF _Toc140406077 \h </w:instrText>
      </w:r>
      <w:r>
        <w:fldChar w:fldCharType="separate"/>
      </w:r>
      <w:r>
        <w:t>1</w:t>
      </w:r>
      <w:r>
        <w:fldChar w:fldCharType="end"/>
      </w:r>
      <w:r>
        <w:fldChar w:fldCharType="end"/>
      </w:r>
    </w:p>
    <w:p>
      <w:pPr>
        <w:pStyle w:val="22"/>
        <w:tabs>
          <w:tab w:val="left" w:pos="840"/>
          <w:tab w:val="right" w:leader="dot" w:pos="8296"/>
        </w:tabs>
        <w:rPr>
          <w:rFonts w:asciiTheme="minorHAnsi" w:hAnsiTheme="minorHAnsi" w:eastAsiaTheme="minorEastAsia" w:cstheme="minorBidi"/>
          <w:sz w:val="21"/>
          <w:szCs w:val="22"/>
        </w:rPr>
      </w:pPr>
      <w:r>
        <w:fldChar w:fldCharType="begin"/>
      </w:r>
      <w:r>
        <w:instrText xml:space="preserve"> HYPERLINK \l "_Toc140406078" </w:instrText>
      </w:r>
      <w:r>
        <w:fldChar w:fldCharType="separate"/>
      </w:r>
      <w:r>
        <w:rPr>
          <w:rStyle w:val="38"/>
          <w:rFonts w:hint="eastAsia" w:eastAsia="宋体"/>
          <w:b/>
          <w:color w:val="auto"/>
        </w:rPr>
        <w:t>二、</w:t>
      </w:r>
      <w:r>
        <w:rPr>
          <w:rFonts w:asciiTheme="minorHAnsi" w:hAnsiTheme="minorHAnsi" w:eastAsiaTheme="minorEastAsia" w:cstheme="minorBidi"/>
          <w:sz w:val="21"/>
          <w:szCs w:val="22"/>
        </w:rPr>
        <w:tab/>
      </w:r>
      <w:r>
        <w:rPr>
          <w:rStyle w:val="38"/>
          <w:rFonts w:hint="eastAsia" w:eastAsia="宋体"/>
          <w:b/>
          <w:color w:val="auto"/>
        </w:rPr>
        <w:t>建设项目工程分析</w:t>
      </w:r>
      <w:r>
        <w:tab/>
      </w:r>
      <w:r>
        <w:fldChar w:fldCharType="begin"/>
      </w:r>
      <w:r>
        <w:instrText xml:space="preserve"> PAGEREF _Toc140406078 \h </w:instrText>
      </w:r>
      <w:r>
        <w:fldChar w:fldCharType="separate"/>
      </w:r>
      <w:r>
        <w:t>13</w:t>
      </w:r>
      <w:r>
        <w:fldChar w:fldCharType="end"/>
      </w:r>
      <w:r>
        <w:fldChar w:fldCharType="end"/>
      </w:r>
    </w:p>
    <w:p>
      <w:pPr>
        <w:pStyle w:val="22"/>
        <w:tabs>
          <w:tab w:val="left" w:pos="840"/>
          <w:tab w:val="right" w:leader="dot" w:pos="8296"/>
        </w:tabs>
        <w:rPr>
          <w:rFonts w:asciiTheme="minorHAnsi" w:hAnsiTheme="minorHAnsi" w:eastAsiaTheme="minorEastAsia" w:cstheme="minorBidi"/>
          <w:sz w:val="21"/>
          <w:szCs w:val="22"/>
        </w:rPr>
      </w:pPr>
      <w:r>
        <w:fldChar w:fldCharType="begin"/>
      </w:r>
      <w:r>
        <w:instrText xml:space="preserve"> HYPERLINK \l "_Toc140406079" </w:instrText>
      </w:r>
      <w:r>
        <w:fldChar w:fldCharType="separate"/>
      </w:r>
      <w:r>
        <w:rPr>
          <w:rStyle w:val="38"/>
          <w:rFonts w:hint="eastAsia" w:eastAsia="宋体"/>
          <w:b/>
          <w:bCs/>
          <w:color w:val="auto"/>
        </w:rPr>
        <w:t>三、</w:t>
      </w:r>
      <w:r>
        <w:rPr>
          <w:rFonts w:asciiTheme="minorHAnsi" w:hAnsiTheme="minorHAnsi" w:eastAsiaTheme="minorEastAsia" w:cstheme="minorBidi"/>
          <w:sz w:val="21"/>
          <w:szCs w:val="22"/>
        </w:rPr>
        <w:tab/>
      </w:r>
      <w:r>
        <w:rPr>
          <w:rStyle w:val="38"/>
          <w:rFonts w:hint="eastAsia" w:eastAsia="宋体"/>
          <w:b/>
          <w:bCs/>
          <w:color w:val="auto"/>
        </w:rPr>
        <w:t>区域环境质量现状、环境保护目标及评价标准</w:t>
      </w:r>
      <w:r>
        <w:tab/>
      </w:r>
      <w:r>
        <w:fldChar w:fldCharType="begin"/>
      </w:r>
      <w:r>
        <w:instrText xml:space="preserve"> PAGEREF _Toc140406079 \h </w:instrText>
      </w:r>
      <w:r>
        <w:fldChar w:fldCharType="separate"/>
      </w:r>
      <w:r>
        <w:t>29</w:t>
      </w:r>
      <w:r>
        <w:fldChar w:fldCharType="end"/>
      </w:r>
      <w:r>
        <w:fldChar w:fldCharType="end"/>
      </w:r>
    </w:p>
    <w:p>
      <w:pPr>
        <w:pStyle w:val="22"/>
        <w:tabs>
          <w:tab w:val="left" w:pos="840"/>
          <w:tab w:val="right" w:leader="dot" w:pos="8296"/>
        </w:tabs>
        <w:rPr>
          <w:rFonts w:asciiTheme="minorHAnsi" w:hAnsiTheme="minorHAnsi" w:eastAsiaTheme="minorEastAsia" w:cstheme="minorBidi"/>
          <w:sz w:val="21"/>
          <w:szCs w:val="22"/>
        </w:rPr>
      </w:pPr>
      <w:r>
        <w:fldChar w:fldCharType="begin"/>
      </w:r>
      <w:r>
        <w:instrText xml:space="preserve"> HYPERLINK \l "_Toc140406080" </w:instrText>
      </w:r>
      <w:r>
        <w:fldChar w:fldCharType="separate"/>
      </w:r>
      <w:r>
        <w:rPr>
          <w:rStyle w:val="38"/>
          <w:rFonts w:hint="eastAsia" w:eastAsia="宋体"/>
          <w:b/>
          <w:bCs/>
          <w:color w:val="auto"/>
        </w:rPr>
        <w:t>四、</w:t>
      </w:r>
      <w:r>
        <w:rPr>
          <w:rFonts w:asciiTheme="minorHAnsi" w:hAnsiTheme="minorHAnsi" w:eastAsiaTheme="minorEastAsia" w:cstheme="minorBidi"/>
          <w:sz w:val="21"/>
          <w:szCs w:val="22"/>
        </w:rPr>
        <w:tab/>
      </w:r>
      <w:r>
        <w:rPr>
          <w:rStyle w:val="38"/>
          <w:rFonts w:hint="eastAsia" w:eastAsia="宋体"/>
          <w:b/>
          <w:bCs/>
          <w:color w:val="auto"/>
        </w:rPr>
        <w:t>主要环境影响和保护措施</w:t>
      </w:r>
      <w:r>
        <w:tab/>
      </w:r>
      <w:r>
        <w:fldChar w:fldCharType="begin"/>
      </w:r>
      <w:r>
        <w:instrText xml:space="preserve"> PAGEREF _Toc140406080 \h </w:instrText>
      </w:r>
      <w:r>
        <w:fldChar w:fldCharType="separate"/>
      </w:r>
      <w:r>
        <w:t>37</w:t>
      </w:r>
      <w:r>
        <w:fldChar w:fldCharType="end"/>
      </w:r>
      <w:r>
        <w:fldChar w:fldCharType="end"/>
      </w:r>
    </w:p>
    <w:p>
      <w:pPr>
        <w:pStyle w:val="22"/>
        <w:tabs>
          <w:tab w:val="left" w:pos="840"/>
          <w:tab w:val="right" w:leader="dot" w:pos="8296"/>
        </w:tabs>
        <w:rPr>
          <w:rFonts w:asciiTheme="minorHAnsi" w:hAnsiTheme="minorHAnsi" w:eastAsiaTheme="minorEastAsia" w:cstheme="minorBidi"/>
          <w:sz w:val="21"/>
          <w:szCs w:val="22"/>
        </w:rPr>
      </w:pPr>
      <w:r>
        <w:fldChar w:fldCharType="begin"/>
      </w:r>
      <w:r>
        <w:instrText xml:space="preserve"> HYPERLINK \l "_Toc140406081" </w:instrText>
      </w:r>
      <w:r>
        <w:fldChar w:fldCharType="separate"/>
      </w:r>
      <w:r>
        <w:rPr>
          <w:rStyle w:val="38"/>
          <w:rFonts w:hint="eastAsia" w:eastAsia="宋体"/>
          <w:b/>
          <w:color w:val="auto"/>
        </w:rPr>
        <w:t>五、</w:t>
      </w:r>
      <w:r>
        <w:rPr>
          <w:rFonts w:asciiTheme="minorHAnsi" w:hAnsiTheme="minorHAnsi" w:eastAsiaTheme="minorEastAsia" w:cstheme="minorBidi"/>
          <w:sz w:val="21"/>
          <w:szCs w:val="22"/>
        </w:rPr>
        <w:tab/>
      </w:r>
      <w:r>
        <w:rPr>
          <w:rStyle w:val="38"/>
          <w:rFonts w:hint="eastAsia" w:eastAsia="宋体"/>
          <w:b/>
          <w:color w:val="auto"/>
        </w:rPr>
        <w:t>环境保护措施监督检查清单</w:t>
      </w:r>
      <w:r>
        <w:tab/>
      </w:r>
      <w:r>
        <w:fldChar w:fldCharType="begin"/>
      </w:r>
      <w:r>
        <w:instrText xml:space="preserve"> PAGEREF _Toc140406081 \h </w:instrText>
      </w:r>
      <w:r>
        <w:fldChar w:fldCharType="separate"/>
      </w:r>
      <w:r>
        <w:t>63</w:t>
      </w:r>
      <w:r>
        <w:fldChar w:fldCharType="end"/>
      </w:r>
      <w:r>
        <w:fldChar w:fldCharType="end"/>
      </w:r>
    </w:p>
    <w:p>
      <w:pPr>
        <w:pStyle w:val="22"/>
        <w:tabs>
          <w:tab w:val="left" w:pos="840"/>
          <w:tab w:val="right" w:leader="dot" w:pos="8296"/>
        </w:tabs>
        <w:rPr>
          <w:rFonts w:asciiTheme="minorHAnsi" w:hAnsiTheme="minorHAnsi" w:eastAsiaTheme="minorEastAsia" w:cstheme="minorBidi"/>
          <w:sz w:val="21"/>
          <w:szCs w:val="22"/>
        </w:rPr>
      </w:pPr>
      <w:r>
        <w:fldChar w:fldCharType="begin"/>
      </w:r>
      <w:r>
        <w:instrText xml:space="preserve"> HYPERLINK \l "_Toc140406082" </w:instrText>
      </w:r>
      <w:r>
        <w:fldChar w:fldCharType="separate"/>
      </w:r>
      <w:r>
        <w:rPr>
          <w:rStyle w:val="38"/>
          <w:rFonts w:hint="eastAsia" w:eastAsia="宋体"/>
          <w:b/>
          <w:color w:val="auto"/>
        </w:rPr>
        <w:t>六、</w:t>
      </w:r>
      <w:r>
        <w:rPr>
          <w:rFonts w:asciiTheme="minorHAnsi" w:hAnsiTheme="minorHAnsi" w:eastAsiaTheme="minorEastAsia" w:cstheme="minorBidi"/>
          <w:sz w:val="21"/>
          <w:szCs w:val="22"/>
        </w:rPr>
        <w:tab/>
      </w:r>
      <w:r>
        <w:rPr>
          <w:rStyle w:val="38"/>
          <w:rFonts w:hint="eastAsia" w:eastAsia="宋体"/>
          <w:b/>
          <w:color w:val="auto"/>
        </w:rPr>
        <w:t>结论</w:t>
      </w:r>
      <w:r>
        <w:tab/>
      </w:r>
      <w:r>
        <w:fldChar w:fldCharType="begin"/>
      </w:r>
      <w:r>
        <w:instrText xml:space="preserve"> PAGEREF _Toc140406082 \h </w:instrText>
      </w:r>
      <w:r>
        <w:fldChar w:fldCharType="separate"/>
      </w:r>
      <w:r>
        <w:t>66</w:t>
      </w:r>
      <w:r>
        <w:fldChar w:fldCharType="end"/>
      </w:r>
      <w:r>
        <w:fldChar w:fldCharType="end"/>
      </w:r>
    </w:p>
    <w:p>
      <w:pPr>
        <w:pStyle w:val="22"/>
        <w:tabs>
          <w:tab w:val="right" w:leader="dot" w:pos="8296"/>
        </w:tabs>
        <w:rPr>
          <w:rFonts w:asciiTheme="minorHAnsi" w:hAnsiTheme="minorHAnsi" w:eastAsiaTheme="minorEastAsia" w:cstheme="minorBidi"/>
          <w:sz w:val="21"/>
          <w:szCs w:val="22"/>
        </w:rPr>
      </w:pPr>
      <w:r>
        <w:fldChar w:fldCharType="begin"/>
      </w:r>
      <w:r>
        <w:instrText xml:space="preserve"> HYPERLINK \l "_Toc140406083" </w:instrText>
      </w:r>
      <w:r>
        <w:fldChar w:fldCharType="separate"/>
      </w:r>
      <w:r>
        <w:rPr>
          <w:rStyle w:val="38"/>
          <w:rFonts w:hAnsi="宋体" w:eastAsia="宋体"/>
          <w:b/>
          <w:color w:val="auto"/>
        </w:rPr>
        <w:t>附表</w:t>
      </w:r>
      <w:r>
        <w:tab/>
      </w:r>
      <w:r>
        <w:fldChar w:fldCharType="begin"/>
      </w:r>
      <w:r>
        <w:instrText xml:space="preserve"> PAGEREF _Toc140406083 \h </w:instrText>
      </w:r>
      <w:r>
        <w:fldChar w:fldCharType="separate"/>
      </w:r>
      <w:r>
        <w:t>67</w:t>
      </w:r>
      <w:r>
        <w:fldChar w:fldCharType="end"/>
      </w:r>
      <w:r>
        <w:fldChar w:fldCharType="end"/>
      </w:r>
    </w:p>
    <w:p>
      <w:pPr>
        <w:rPr>
          <w:rFonts w:eastAsia="宋体"/>
          <w:b/>
          <w:bCs/>
          <w:lang w:val="zh-CN"/>
        </w:rPr>
      </w:pPr>
      <w:r>
        <w:fldChar w:fldCharType="end"/>
      </w:r>
      <w:r>
        <w:rPr>
          <w:rFonts w:eastAsia="宋体"/>
          <w:b/>
          <w:bCs/>
          <w:lang w:val="zh-CN"/>
        </w:rPr>
        <w:t>附图</w:t>
      </w:r>
    </w:p>
    <w:p>
      <w:pPr>
        <w:pStyle w:val="16"/>
        <w:rPr>
          <w:rFonts w:ascii="Times New Roman" w:hAnsi="Times New Roman" w:eastAsia="宋体" w:cs="Times New Roman"/>
          <w:b/>
          <w:bCs/>
        </w:rPr>
      </w:pPr>
      <w:r>
        <w:rPr>
          <w:rFonts w:ascii="Times New Roman" w:hAnsi="Times New Roman" w:eastAsia="宋体" w:cs="Times New Roman"/>
          <w:b/>
          <w:bCs/>
        </w:rPr>
        <w:t>附图1</w:t>
      </w:r>
      <w:r>
        <w:rPr>
          <w:rFonts w:hint="eastAsia" w:ascii="Times New Roman" w:hAnsi="Times New Roman" w:eastAsia="宋体" w:cs="Times New Roman"/>
          <w:b/>
          <w:bCs/>
        </w:rPr>
        <w:t xml:space="preserve"> 建设</w:t>
      </w:r>
      <w:r>
        <w:rPr>
          <w:rFonts w:ascii="Times New Roman" w:hAnsi="Times New Roman" w:eastAsia="宋体" w:cs="Times New Roman"/>
          <w:b/>
          <w:bCs/>
        </w:rPr>
        <w:t>项目地理位置图</w:t>
      </w:r>
    </w:p>
    <w:p>
      <w:pPr>
        <w:pStyle w:val="16"/>
        <w:rPr>
          <w:rFonts w:ascii="Times New Roman" w:hAnsi="Times New Roman" w:eastAsia="宋体" w:cs="Times New Roman"/>
          <w:b/>
          <w:bCs/>
          <w:lang w:val="zh-CN"/>
        </w:rPr>
      </w:pPr>
      <w:r>
        <w:rPr>
          <w:rFonts w:hint="eastAsia" w:ascii="Times New Roman" w:hAnsi="Times New Roman" w:eastAsia="宋体" w:cs="Times New Roman"/>
          <w:b/>
          <w:bCs/>
          <w:lang w:val="zh-CN"/>
        </w:rPr>
        <w:t>附图2 建设项目周边环境示意图</w:t>
      </w:r>
    </w:p>
    <w:p>
      <w:pPr>
        <w:pStyle w:val="16"/>
        <w:rPr>
          <w:rFonts w:ascii="Times New Roman" w:hAnsi="Times New Roman" w:eastAsia="宋体" w:cs="Times New Roman"/>
          <w:b/>
          <w:bCs/>
          <w:lang w:val="zh-CN"/>
        </w:rPr>
      </w:pPr>
      <w:r>
        <w:rPr>
          <w:rFonts w:hint="eastAsia" w:ascii="Times New Roman" w:hAnsi="Times New Roman" w:eastAsia="宋体" w:cs="Times New Roman"/>
          <w:b/>
          <w:bCs/>
          <w:lang w:val="zh-CN"/>
        </w:rPr>
        <w:t>附图3 学校总平面布置图</w:t>
      </w:r>
    </w:p>
    <w:p>
      <w:pPr>
        <w:pStyle w:val="16"/>
        <w:rPr>
          <w:rFonts w:ascii="Times New Roman" w:hAnsi="Times New Roman" w:eastAsia="宋体" w:cs="Times New Roman"/>
          <w:b/>
          <w:bCs/>
          <w:lang w:val="zh-CN"/>
        </w:rPr>
      </w:pPr>
      <w:r>
        <w:rPr>
          <w:rFonts w:hint="eastAsia" w:ascii="Times New Roman" w:hAnsi="Times New Roman" w:eastAsia="宋体" w:cs="Times New Roman"/>
          <w:b/>
          <w:bCs/>
          <w:lang w:val="zh-CN"/>
        </w:rPr>
        <w:t>附图4 临平区声环境功能区划图</w:t>
      </w:r>
    </w:p>
    <w:p>
      <w:pPr>
        <w:pStyle w:val="16"/>
        <w:rPr>
          <w:rFonts w:ascii="Times New Roman" w:hAnsi="Times New Roman" w:eastAsia="宋体" w:cs="Times New Roman"/>
          <w:b/>
          <w:bCs/>
          <w:lang w:val="zh-CN"/>
        </w:rPr>
      </w:pPr>
      <w:r>
        <w:rPr>
          <w:rFonts w:hint="eastAsia" w:ascii="Times New Roman" w:hAnsi="Times New Roman" w:eastAsia="宋体" w:cs="Times New Roman"/>
          <w:b/>
          <w:bCs/>
          <w:lang w:val="zh-CN"/>
        </w:rPr>
        <w:t>附图5 生态保护红线图</w:t>
      </w:r>
    </w:p>
    <w:p>
      <w:pPr>
        <w:pStyle w:val="16"/>
        <w:rPr>
          <w:rFonts w:ascii="Times New Roman" w:hAnsi="Times New Roman" w:eastAsia="宋体" w:cs="Times New Roman"/>
          <w:b/>
          <w:bCs/>
          <w:lang w:val="zh-CN"/>
        </w:rPr>
      </w:pPr>
      <w:r>
        <w:rPr>
          <w:rFonts w:hint="eastAsia" w:ascii="Times New Roman" w:hAnsi="Times New Roman" w:eastAsia="宋体" w:cs="Times New Roman"/>
          <w:b/>
          <w:bCs/>
          <w:lang w:val="zh-CN"/>
        </w:rPr>
        <w:t>附图6 水环境功能区划图</w:t>
      </w:r>
    </w:p>
    <w:p>
      <w:pPr>
        <w:pStyle w:val="16"/>
        <w:rPr>
          <w:rFonts w:ascii="Times New Roman" w:hAnsi="Times New Roman" w:eastAsia="宋体" w:cs="Times New Roman"/>
          <w:b/>
          <w:bCs/>
          <w:lang w:val="zh-CN"/>
        </w:rPr>
      </w:pPr>
      <w:r>
        <w:rPr>
          <w:rFonts w:hint="eastAsia" w:ascii="Times New Roman" w:hAnsi="Times New Roman" w:eastAsia="宋体" w:cs="Times New Roman"/>
          <w:b/>
          <w:bCs/>
          <w:lang w:val="zh-CN"/>
        </w:rPr>
        <w:t>附图7</w:t>
      </w:r>
      <w:r>
        <w:rPr>
          <w:rFonts w:ascii="Times New Roman" w:hAnsi="Times New Roman" w:eastAsia="宋体" w:cs="Times New Roman"/>
          <w:b/>
          <w:bCs/>
          <w:lang w:val="zh-CN"/>
        </w:rPr>
        <w:t xml:space="preserve"> </w:t>
      </w:r>
      <w:r>
        <w:rPr>
          <w:rFonts w:hint="eastAsia" w:ascii="Times New Roman" w:hAnsi="Times New Roman" w:eastAsia="宋体" w:cs="Times New Roman"/>
          <w:b/>
          <w:bCs/>
          <w:lang w:val="zh-CN"/>
        </w:rPr>
        <w:t>临平区环境管控单元分类图</w:t>
      </w:r>
    </w:p>
    <w:p>
      <w:pPr>
        <w:pStyle w:val="16"/>
        <w:rPr>
          <w:rFonts w:ascii="Times New Roman" w:hAnsi="Times New Roman" w:eastAsia="宋体" w:cs="Times New Roman"/>
          <w:b/>
          <w:bCs/>
          <w:lang w:val="zh-CN"/>
        </w:rPr>
      </w:pPr>
      <w:r>
        <w:rPr>
          <w:rFonts w:hint="eastAsia" w:ascii="Times New Roman" w:hAnsi="Times New Roman" w:eastAsia="宋体" w:cs="Times New Roman"/>
          <w:b/>
          <w:bCs/>
          <w:lang w:val="zh-CN"/>
        </w:rPr>
        <w:t>附图8 临平区“三区三线”划定方案图</w:t>
      </w:r>
    </w:p>
    <w:p>
      <w:pPr>
        <w:pStyle w:val="16"/>
        <w:rPr>
          <w:rFonts w:ascii="Times New Roman" w:hAnsi="Times New Roman" w:eastAsia="宋体" w:cs="Times New Roman"/>
          <w:b/>
          <w:bCs/>
          <w:lang w:val="zh-CN"/>
        </w:rPr>
      </w:pPr>
      <w:r>
        <w:rPr>
          <w:rFonts w:hint="eastAsia" w:ascii="Times New Roman" w:hAnsi="Times New Roman" w:eastAsia="宋体" w:cs="Times New Roman"/>
          <w:b/>
          <w:bCs/>
          <w:lang w:val="zh-CN"/>
        </w:rPr>
        <w:t>附图9 项目地块周边交通情况</w:t>
      </w:r>
      <w:r>
        <w:rPr>
          <w:rFonts w:hint="eastAsia" w:eastAsia="宋体"/>
          <w:b/>
          <w:bCs/>
          <w:lang w:val="zh-CN"/>
        </w:rPr>
        <w:t>图</w:t>
      </w:r>
    </w:p>
    <w:p>
      <w:pPr>
        <w:pStyle w:val="16"/>
        <w:rPr>
          <w:rFonts w:ascii="Times New Roman" w:hAnsi="Times New Roman" w:eastAsia="宋体" w:cs="Times New Roman"/>
          <w:b/>
          <w:bCs/>
          <w:lang w:val="zh-CN"/>
        </w:rPr>
      </w:pPr>
      <w:r>
        <w:rPr>
          <w:rFonts w:hint="eastAsia" w:ascii="Times New Roman" w:hAnsi="Times New Roman" w:eastAsia="宋体" w:cs="Times New Roman"/>
          <w:b/>
          <w:bCs/>
          <w:lang w:val="zh-CN"/>
        </w:rPr>
        <w:t>附图</w:t>
      </w:r>
      <w:r>
        <w:rPr>
          <w:rFonts w:hint="eastAsia" w:ascii="Times New Roman" w:hAnsi="Times New Roman" w:eastAsia="宋体" w:cs="Times New Roman"/>
          <w:b/>
          <w:bCs/>
          <w:lang w:val="en-US" w:eastAsia="zh-CN"/>
        </w:rPr>
        <w:t>10</w:t>
      </w:r>
      <w:r>
        <w:rPr>
          <w:rFonts w:hint="eastAsia" w:ascii="Times New Roman" w:hAnsi="Times New Roman" w:eastAsia="宋体" w:cs="Times New Roman"/>
          <w:b/>
          <w:bCs/>
          <w:lang w:val="zh-CN"/>
        </w:rPr>
        <w:t xml:space="preserve"> </w:t>
      </w:r>
      <w:r>
        <w:rPr>
          <w:rFonts w:hint="default" w:ascii="Times New Roman" w:hAnsi="Times New Roman" w:eastAsia="宋体" w:cs="Times New Roman"/>
          <w:b/>
          <w:bCs/>
          <w:lang w:val="en-US" w:eastAsia="zh-CN"/>
        </w:rPr>
        <w:t>《杭州市临平区乔司单元用地功能规划图》（草案）</w:t>
      </w:r>
    </w:p>
    <w:p>
      <w:pPr>
        <w:pStyle w:val="16"/>
        <w:rPr>
          <w:rFonts w:ascii="Times New Roman" w:hAnsi="Times New Roman" w:eastAsia="宋体" w:cs="Times New Roman"/>
          <w:b/>
          <w:bCs/>
          <w:lang w:val="zh-CN"/>
        </w:rPr>
      </w:pPr>
      <w:r>
        <w:rPr>
          <w:rFonts w:ascii="Times New Roman" w:hAnsi="Times New Roman" w:eastAsia="宋体" w:cs="Times New Roman"/>
          <w:b/>
          <w:bCs/>
          <w:lang w:val="zh-CN"/>
        </w:rPr>
        <w:t>附件</w:t>
      </w:r>
    </w:p>
    <w:p>
      <w:pPr>
        <w:rPr>
          <w:rFonts w:eastAsia="宋体"/>
          <w:b/>
          <w:bCs/>
        </w:rPr>
      </w:pPr>
      <w:r>
        <w:rPr>
          <w:rFonts w:hint="eastAsia" w:eastAsia="宋体"/>
          <w:b/>
          <w:bCs/>
        </w:rPr>
        <w:t>附件1 项目可行性研究报告的批复（临发改临新[2023]34号）</w:t>
      </w:r>
    </w:p>
    <w:p>
      <w:pPr>
        <w:rPr>
          <w:rFonts w:eastAsia="宋体"/>
          <w:b/>
          <w:bCs/>
        </w:rPr>
      </w:pPr>
      <w:r>
        <w:rPr>
          <w:rFonts w:eastAsia="宋体"/>
          <w:b/>
          <w:bCs/>
        </w:rPr>
        <w:t>附件2</w:t>
      </w:r>
      <w:r>
        <w:rPr>
          <w:rFonts w:hint="eastAsia" w:eastAsia="宋体"/>
          <w:b/>
          <w:bCs/>
        </w:rPr>
        <w:t xml:space="preserve"> 营业执照</w:t>
      </w:r>
    </w:p>
    <w:p>
      <w:pPr>
        <w:rPr>
          <w:rFonts w:eastAsia="宋体"/>
        </w:rPr>
      </w:pPr>
      <w:r>
        <w:rPr>
          <w:rFonts w:hint="eastAsia" w:eastAsia="宋体"/>
          <w:b/>
          <w:bCs/>
        </w:rPr>
        <w:t>附件3 建设项目用地预审与选址意见书</w:t>
      </w:r>
    </w:p>
    <w:p>
      <w:pPr>
        <w:jc w:val="left"/>
        <w:rPr>
          <w:rFonts w:eastAsia="宋体"/>
          <w:b/>
          <w:bCs/>
        </w:rPr>
      </w:pPr>
      <w:r>
        <w:rPr>
          <w:rFonts w:hint="eastAsia" w:eastAsia="宋体"/>
          <w:b/>
          <w:bCs/>
        </w:rPr>
        <w:t>附件4</w:t>
      </w:r>
      <w:r>
        <w:rPr>
          <w:rFonts w:eastAsia="宋体"/>
          <w:b/>
          <w:bCs/>
        </w:rPr>
        <w:t xml:space="preserve"> </w:t>
      </w:r>
      <w:r>
        <w:rPr>
          <w:rFonts w:hint="eastAsia" w:eastAsia="宋体"/>
          <w:b/>
          <w:bCs/>
        </w:rPr>
        <w:t>联胜九年一贯制学校项目地块规划技术指标图</w:t>
      </w:r>
    </w:p>
    <w:p>
      <w:pPr>
        <w:jc w:val="left"/>
        <w:rPr>
          <w:rFonts w:eastAsia="宋体"/>
          <w:b/>
          <w:bCs/>
        </w:rPr>
      </w:pPr>
      <w:r>
        <w:rPr>
          <w:rFonts w:hint="eastAsia" w:eastAsia="宋体"/>
          <w:b/>
          <w:bCs/>
        </w:rPr>
        <w:t>附件5 检测报告</w:t>
      </w:r>
    </w:p>
    <w:p>
      <w:pPr>
        <w:jc w:val="left"/>
        <w:rPr>
          <w:rFonts w:eastAsia="宋体"/>
          <w:b/>
          <w:bCs/>
        </w:rPr>
      </w:pPr>
      <w:r>
        <w:rPr>
          <w:rFonts w:hint="eastAsia" w:eastAsia="宋体"/>
          <w:b/>
          <w:bCs/>
        </w:rPr>
        <w:t>附件6 建设项目环境影响评价合同</w:t>
      </w:r>
    </w:p>
    <w:p>
      <w:pPr>
        <w:jc w:val="left"/>
        <w:rPr>
          <w:rFonts w:hint="eastAsia" w:eastAsia="宋体"/>
          <w:b/>
          <w:bCs/>
        </w:rPr>
      </w:pPr>
      <w:r>
        <w:rPr>
          <w:rFonts w:hint="eastAsia" w:eastAsia="宋体"/>
          <w:b/>
          <w:bCs/>
        </w:rPr>
        <w:t>附件7 环评工程师资格证书复印件</w:t>
      </w:r>
    </w:p>
    <w:p>
      <w:pPr>
        <w:jc w:val="left"/>
        <w:rPr>
          <w:rFonts w:hint="eastAsia" w:eastAsia="宋体"/>
          <w:b/>
          <w:bCs/>
        </w:rPr>
      </w:pPr>
      <w:r>
        <w:rPr>
          <w:rFonts w:hint="eastAsia" w:eastAsia="宋体"/>
          <w:b/>
          <w:bCs/>
        </w:rPr>
        <w:t>附件8 环评工程师及编制主持人身份证复印件</w:t>
      </w:r>
    </w:p>
    <w:p>
      <w:pPr>
        <w:jc w:val="left"/>
        <w:rPr>
          <w:rFonts w:hint="eastAsia" w:eastAsia="宋体"/>
          <w:b/>
          <w:bCs/>
        </w:rPr>
      </w:pPr>
      <w:r>
        <w:rPr>
          <w:rFonts w:hint="eastAsia" w:eastAsia="宋体"/>
          <w:b/>
          <w:bCs/>
        </w:rPr>
        <w:t>附件</w:t>
      </w:r>
      <w:r>
        <w:rPr>
          <w:rFonts w:hint="eastAsia" w:eastAsia="宋体"/>
          <w:b/>
          <w:bCs/>
          <w:lang w:val="en-US" w:eastAsia="zh-CN"/>
        </w:rPr>
        <w:t>9</w:t>
      </w:r>
      <w:r>
        <w:rPr>
          <w:rFonts w:hint="eastAsia" w:eastAsia="宋体"/>
          <w:b/>
          <w:bCs/>
        </w:rPr>
        <w:t xml:space="preserve"> 法人身份证复印件</w:t>
      </w:r>
    </w:p>
    <w:p>
      <w:pPr>
        <w:jc w:val="left"/>
        <w:rPr>
          <w:rFonts w:hint="eastAsia" w:eastAsia="宋体"/>
          <w:b/>
          <w:bCs/>
        </w:rPr>
      </w:pPr>
      <w:r>
        <w:rPr>
          <w:rFonts w:hint="eastAsia" w:eastAsia="宋体"/>
          <w:b/>
          <w:bCs/>
        </w:rPr>
        <w:t>附件</w:t>
      </w:r>
      <w:r>
        <w:rPr>
          <w:rFonts w:hint="eastAsia" w:eastAsia="宋体"/>
          <w:b/>
          <w:bCs/>
          <w:lang w:val="en-US" w:eastAsia="zh-CN"/>
        </w:rPr>
        <w:t>10</w:t>
      </w:r>
      <w:r>
        <w:rPr>
          <w:rFonts w:hint="eastAsia" w:eastAsia="宋体"/>
          <w:b/>
          <w:bCs/>
        </w:rPr>
        <w:t xml:space="preserve"> 编制人身份证复印件</w:t>
      </w:r>
    </w:p>
    <w:p>
      <w:pPr>
        <w:jc w:val="left"/>
        <w:rPr>
          <w:rFonts w:eastAsia="宋体"/>
          <w:b/>
          <w:bCs/>
        </w:rPr>
      </w:pPr>
      <w:r>
        <w:rPr>
          <w:rFonts w:hint="eastAsia" w:eastAsia="宋体"/>
          <w:b/>
          <w:bCs/>
        </w:rPr>
        <w:t>附件</w:t>
      </w:r>
      <w:r>
        <w:rPr>
          <w:rFonts w:hint="eastAsia" w:eastAsia="宋体"/>
          <w:b/>
          <w:bCs/>
          <w:lang w:val="en-US" w:eastAsia="zh-CN"/>
        </w:rPr>
        <w:t>11</w:t>
      </w:r>
      <w:r>
        <w:rPr>
          <w:rFonts w:hint="eastAsia" w:eastAsia="宋体"/>
          <w:b/>
          <w:bCs/>
        </w:rPr>
        <w:t xml:space="preserve"> 内审单</w:t>
      </w:r>
    </w:p>
    <w:p>
      <w:pPr>
        <w:jc w:val="left"/>
        <w:rPr>
          <w:rFonts w:hint="eastAsia" w:eastAsia="宋体" w:cs="Times New Roman"/>
          <w:b/>
          <w:bCs/>
          <w:lang w:val="en-US" w:eastAsia="zh-CN"/>
        </w:rPr>
      </w:pPr>
      <w:r>
        <w:rPr>
          <w:rFonts w:hint="eastAsia" w:ascii="Times New Roman" w:hAnsi="Times New Roman" w:eastAsia="宋体" w:cs="Times New Roman"/>
          <w:b/>
          <w:bCs/>
        </w:rPr>
        <w:t>附件</w:t>
      </w:r>
      <w:r>
        <w:rPr>
          <w:rFonts w:hint="eastAsia" w:ascii="Times New Roman" w:hAnsi="Times New Roman" w:eastAsia="宋体" w:cs="Times New Roman"/>
          <w:b/>
          <w:bCs/>
          <w:lang w:val="en-US" w:eastAsia="zh-CN"/>
        </w:rPr>
        <w:t>1</w:t>
      </w:r>
      <w:r>
        <w:rPr>
          <w:rFonts w:hint="eastAsia" w:eastAsia="宋体" w:cs="Times New Roman"/>
          <w:b/>
          <w:bCs/>
          <w:lang w:val="en-US" w:eastAsia="zh-CN"/>
        </w:rPr>
        <w:t>2</w:t>
      </w:r>
      <w:r>
        <w:rPr>
          <w:rFonts w:hint="eastAsia" w:ascii="Times New Roman" w:hAnsi="Times New Roman" w:eastAsia="宋体" w:cs="Times New Roman"/>
          <w:b/>
          <w:bCs/>
        </w:rPr>
        <w:t xml:space="preserve"> </w:t>
      </w:r>
      <w:r>
        <w:rPr>
          <w:rFonts w:hint="eastAsia" w:eastAsia="宋体" w:cs="Times New Roman"/>
          <w:b/>
          <w:bCs/>
          <w:lang w:val="en-US" w:eastAsia="zh-CN"/>
        </w:rPr>
        <w:t>本地块场地调查报告专家意见及批文</w:t>
      </w:r>
    </w:p>
    <w:p>
      <w:pPr>
        <w:jc w:val="left"/>
        <w:rPr>
          <w:rFonts w:eastAsia="宋体"/>
          <w:b/>
          <w:bCs/>
        </w:rPr>
      </w:pPr>
      <w:r>
        <w:rPr>
          <w:rFonts w:hint="eastAsia" w:eastAsia="宋体"/>
          <w:b/>
          <w:bCs/>
        </w:rPr>
        <w:t>附件</w:t>
      </w:r>
      <w:r>
        <w:rPr>
          <w:rFonts w:hint="eastAsia" w:eastAsia="宋体"/>
          <w:b/>
          <w:bCs/>
          <w:lang w:val="en-US" w:eastAsia="zh-CN"/>
        </w:rPr>
        <w:t>13</w:t>
      </w:r>
      <w:r>
        <w:rPr>
          <w:rFonts w:hint="eastAsia" w:eastAsia="宋体"/>
          <w:b/>
          <w:bCs/>
        </w:rPr>
        <w:t xml:space="preserve"> 授权委托书（工程师）</w:t>
      </w:r>
    </w:p>
    <w:p>
      <w:pPr>
        <w:jc w:val="left"/>
        <w:rPr>
          <w:rFonts w:hint="eastAsia" w:eastAsia="宋体"/>
          <w:b/>
          <w:bCs/>
        </w:rPr>
      </w:pPr>
      <w:r>
        <w:rPr>
          <w:rFonts w:hint="eastAsia" w:eastAsia="宋体"/>
          <w:b/>
          <w:bCs/>
        </w:rPr>
        <w:t>附件</w:t>
      </w:r>
      <w:r>
        <w:rPr>
          <w:rFonts w:hint="eastAsia" w:eastAsia="宋体"/>
          <w:b/>
          <w:bCs/>
          <w:lang w:val="en-US" w:eastAsia="zh-CN"/>
        </w:rPr>
        <w:t>14</w:t>
      </w:r>
      <w:r>
        <w:rPr>
          <w:rFonts w:hint="eastAsia" w:eastAsia="宋体"/>
          <w:b/>
          <w:bCs/>
        </w:rPr>
        <w:t xml:space="preserve"> 环评文件确认书</w:t>
      </w:r>
    </w:p>
    <w:p>
      <w:pPr>
        <w:jc w:val="left"/>
        <w:rPr>
          <w:rFonts w:hint="eastAsia" w:eastAsia="宋体"/>
          <w:b/>
          <w:bCs/>
        </w:rPr>
        <w:sectPr>
          <w:footerReference r:id="rId5" w:type="default"/>
          <w:pgSz w:w="11906" w:h="16838"/>
          <w:pgMar w:top="1440" w:right="1800" w:bottom="1440" w:left="1800" w:header="851" w:footer="992" w:gutter="0"/>
          <w:pgNumType w:fmt="upperRoman" w:start="1"/>
          <w:cols w:space="425" w:num="1"/>
          <w:docGrid w:type="lines" w:linePitch="312" w:charSpace="0"/>
        </w:sectPr>
      </w:pPr>
    </w:p>
    <w:p>
      <w:pPr>
        <w:pStyle w:val="16"/>
        <w:numPr>
          <w:ilvl w:val="0"/>
          <w:numId w:val="5"/>
        </w:numPr>
        <w:ind w:left="0" w:firstLine="0"/>
        <w:jc w:val="center"/>
        <w:outlineLvl w:val="0"/>
        <w:rPr>
          <w:rFonts w:ascii="Times New Roman" w:hAnsi="Times New Roman" w:eastAsia="宋体" w:cs="Times New Roman"/>
          <w:b/>
          <w:bCs/>
        </w:rPr>
      </w:pPr>
      <w:bookmarkStart w:id="1" w:name="_Toc140406077"/>
      <w:r>
        <w:rPr>
          <w:rFonts w:ascii="Times New Roman" w:hAnsi="Times New Roman" w:eastAsia="宋体" w:cs="Times New Roman"/>
          <w:b/>
          <w:bCs/>
        </w:rPr>
        <w:t>建设项目基本情况</w:t>
      </w:r>
      <w:bookmarkEnd w:id="1"/>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4"/>
        <w:gridCol w:w="2473"/>
        <w:gridCol w:w="2038"/>
        <w:gridCol w:w="2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Align w:val="center"/>
          </w:tcPr>
          <w:p>
            <w:pPr>
              <w:pStyle w:val="16"/>
              <w:spacing w:line="240" w:lineRule="auto"/>
              <w:jc w:val="center"/>
              <w:rPr>
                <w:rFonts w:ascii="Times New Roman" w:hAnsi="Times New Roman" w:eastAsia="宋体" w:cs="Times New Roman"/>
              </w:rPr>
            </w:pPr>
            <w:r>
              <w:rPr>
                <w:rFonts w:ascii="Times New Roman" w:hAnsi="Times New Roman" w:eastAsia="宋体" w:cs="Times New Roman"/>
              </w:rPr>
              <w:t>建设项目名称</w:t>
            </w:r>
          </w:p>
        </w:tc>
        <w:tc>
          <w:tcPr>
            <w:tcW w:w="4147" w:type="pct"/>
            <w:gridSpan w:val="3"/>
            <w:vAlign w:val="center"/>
          </w:tcPr>
          <w:p>
            <w:pPr>
              <w:pStyle w:val="16"/>
              <w:spacing w:line="240" w:lineRule="auto"/>
              <w:jc w:val="center"/>
              <w:rPr>
                <w:rFonts w:ascii="Times New Roman" w:hAnsi="Times New Roman" w:eastAsia="宋体" w:cs="Times New Roman"/>
              </w:rPr>
            </w:pPr>
            <w:r>
              <w:rPr>
                <w:rFonts w:hint="eastAsia" w:ascii="Times New Roman" w:hAnsi="Times New Roman" w:eastAsia="宋体" w:cs="Times New Roman"/>
              </w:rPr>
              <w:t>联胜九年一贯制学校项目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Align w:val="center"/>
          </w:tcPr>
          <w:p>
            <w:pPr>
              <w:pStyle w:val="16"/>
              <w:spacing w:line="240" w:lineRule="auto"/>
              <w:jc w:val="center"/>
              <w:rPr>
                <w:rFonts w:ascii="Times New Roman" w:hAnsi="Times New Roman" w:eastAsia="宋体" w:cs="Times New Roman"/>
              </w:rPr>
            </w:pPr>
            <w:r>
              <w:rPr>
                <w:rFonts w:ascii="Times New Roman" w:hAnsi="Times New Roman" w:eastAsia="宋体" w:cs="Times New Roman"/>
              </w:rPr>
              <w:t>项目代码</w:t>
            </w:r>
          </w:p>
        </w:tc>
        <w:tc>
          <w:tcPr>
            <w:tcW w:w="4147" w:type="pct"/>
            <w:gridSpan w:val="3"/>
            <w:vAlign w:val="center"/>
          </w:tcPr>
          <w:p>
            <w:pPr>
              <w:pStyle w:val="16"/>
              <w:spacing w:line="240" w:lineRule="auto"/>
              <w:jc w:val="center"/>
              <w:rPr>
                <w:rFonts w:ascii="Times New Roman" w:hAnsi="Times New Roman" w:eastAsia="宋体" w:cs="Times New Roman"/>
              </w:rPr>
            </w:pPr>
            <w:r>
              <w:rPr>
                <w:rFonts w:hint="eastAsia" w:ascii="Times New Roman" w:hAnsi="Times New Roman" w:eastAsia="宋体" w:cs="Times New Roman"/>
              </w:rPr>
              <w:t>2018-330110-82-01-024037-000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Align w:val="center"/>
          </w:tcPr>
          <w:p>
            <w:pPr>
              <w:pStyle w:val="16"/>
              <w:spacing w:line="240" w:lineRule="auto"/>
              <w:jc w:val="center"/>
              <w:rPr>
                <w:rFonts w:ascii="Times New Roman" w:hAnsi="Times New Roman" w:eastAsia="宋体" w:cs="Times New Roman"/>
              </w:rPr>
            </w:pPr>
            <w:r>
              <w:rPr>
                <w:rFonts w:ascii="Times New Roman" w:hAnsi="Times New Roman" w:eastAsia="宋体" w:cs="Times New Roman"/>
              </w:rPr>
              <w:t>建设单位</w:t>
            </w:r>
          </w:p>
          <w:p>
            <w:pPr>
              <w:pStyle w:val="16"/>
              <w:spacing w:line="240" w:lineRule="auto"/>
              <w:jc w:val="center"/>
              <w:rPr>
                <w:rFonts w:ascii="Times New Roman" w:hAnsi="Times New Roman" w:eastAsia="宋体" w:cs="Times New Roman"/>
              </w:rPr>
            </w:pPr>
            <w:r>
              <w:rPr>
                <w:rFonts w:ascii="Times New Roman" w:hAnsi="Times New Roman" w:eastAsia="宋体" w:cs="Times New Roman"/>
              </w:rPr>
              <w:t>联系人</w:t>
            </w:r>
          </w:p>
        </w:tc>
        <w:tc>
          <w:tcPr>
            <w:tcW w:w="1451" w:type="pct"/>
            <w:vAlign w:val="center"/>
          </w:tcPr>
          <w:p>
            <w:pPr>
              <w:pStyle w:val="16"/>
              <w:spacing w:line="240" w:lineRule="auto"/>
              <w:jc w:val="center"/>
              <w:rPr>
                <w:rFonts w:ascii="Times New Roman" w:hAnsi="Times New Roman" w:eastAsia="宋体" w:cs="Times New Roman"/>
              </w:rPr>
            </w:pPr>
            <w:r>
              <w:rPr>
                <w:rFonts w:hint="eastAsia" w:ascii="Times New Roman" w:hAnsi="Times New Roman" w:eastAsia="宋体" w:cs="Times New Roman"/>
              </w:rPr>
              <w:t>陆振宇</w:t>
            </w:r>
          </w:p>
        </w:tc>
        <w:tc>
          <w:tcPr>
            <w:tcW w:w="1196" w:type="pct"/>
            <w:vAlign w:val="center"/>
          </w:tcPr>
          <w:p>
            <w:pPr>
              <w:pStyle w:val="16"/>
              <w:spacing w:line="240" w:lineRule="auto"/>
              <w:jc w:val="center"/>
              <w:rPr>
                <w:rFonts w:ascii="Times New Roman" w:hAnsi="Times New Roman" w:eastAsia="宋体" w:cs="Times New Roman"/>
              </w:rPr>
            </w:pPr>
            <w:r>
              <w:rPr>
                <w:rFonts w:ascii="Times New Roman" w:hAnsi="Times New Roman" w:eastAsia="宋体" w:cs="Times New Roman"/>
              </w:rPr>
              <w:t>联系方式</w:t>
            </w:r>
          </w:p>
        </w:tc>
        <w:tc>
          <w:tcPr>
            <w:tcW w:w="1500" w:type="pct"/>
            <w:vAlign w:val="center"/>
          </w:tcPr>
          <w:p>
            <w:pPr>
              <w:pStyle w:val="16"/>
              <w:spacing w:line="240" w:lineRule="auto"/>
              <w:jc w:val="center"/>
              <w:rPr>
                <w:rFonts w:ascii="Times New Roman" w:hAnsi="Times New Roman" w:eastAsia="宋体" w:cs="Times New Roman"/>
              </w:rPr>
            </w:pPr>
            <w:r>
              <w:rPr>
                <w:rFonts w:ascii="Times New Roman" w:hAnsi="Times New Roman" w:eastAsia="宋体" w:cs="Times New Roman"/>
              </w:rPr>
              <w:t>13</w:t>
            </w:r>
            <w:bookmarkStart w:id="15" w:name="_GoBack"/>
            <w:bookmarkEnd w:id="15"/>
            <w:r>
              <w:rPr>
                <w:rFonts w:ascii="Times New Roman" w:hAnsi="Times New Roman" w:eastAsia="宋体" w:cs="Times New Roman"/>
              </w:rPr>
              <w:t>738099820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Align w:val="center"/>
          </w:tcPr>
          <w:p>
            <w:pPr>
              <w:pStyle w:val="16"/>
              <w:spacing w:line="240" w:lineRule="auto"/>
              <w:jc w:val="center"/>
              <w:rPr>
                <w:rFonts w:ascii="Times New Roman" w:hAnsi="Times New Roman" w:eastAsia="宋体" w:cs="Times New Roman"/>
              </w:rPr>
            </w:pPr>
            <w:r>
              <w:rPr>
                <w:rFonts w:ascii="Times New Roman" w:hAnsi="Times New Roman" w:eastAsia="宋体" w:cs="Times New Roman"/>
              </w:rPr>
              <w:t>建设地点</w:t>
            </w:r>
          </w:p>
        </w:tc>
        <w:tc>
          <w:tcPr>
            <w:tcW w:w="4147" w:type="pct"/>
            <w:gridSpan w:val="3"/>
            <w:vAlign w:val="center"/>
          </w:tcPr>
          <w:p>
            <w:pPr>
              <w:pStyle w:val="16"/>
              <w:spacing w:line="240" w:lineRule="auto"/>
              <w:jc w:val="center"/>
              <w:rPr>
                <w:rFonts w:ascii="Times New Roman" w:hAnsi="Times New Roman" w:eastAsia="宋体" w:cs="Times New Roman"/>
              </w:rPr>
            </w:pPr>
            <w:r>
              <w:rPr>
                <w:rFonts w:hint="eastAsia" w:ascii="Times New Roman" w:hAnsi="Times New Roman" w:eastAsia="宋体" w:cs="Times New Roman"/>
              </w:rPr>
              <w:t>浙江省杭州市临平区南苑街道，东至新城路，西、北至联胜路，南至相邻地块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Align w:val="center"/>
          </w:tcPr>
          <w:p>
            <w:pPr>
              <w:pStyle w:val="16"/>
              <w:spacing w:line="240" w:lineRule="auto"/>
              <w:jc w:val="center"/>
              <w:rPr>
                <w:rFonts w:ascii="Times New Roman" w:hAnsi="Times New Roman" w:eastAsia="宋体" w:cs="Times New Roman"/>
              </w:rPr>
            </w:pPr>
            <w:r>
              <w:rPr>
                <w:rFonts w:ascii="Times New Roman" w:hAnsi="Times New Roman" w:eastAsia="宋体" w:cs="Times New Roman"/>
              </w:rPr>
              <w:t>地理坐标</w:t>
            </w:r>
          </w:p>
        </w:tc>
        <w:tc>
          <w:tcPr>
            <w:tcW w:w="4147" w:type="pct"/>
            <w:gridSpan w:val="3"/>
            <w:vAlign w:val="center"/>
          </w:tcPr>
          <w:p>
            <w:pPr>
              <w:pStyle w:val="16"/>
              <w:spacing w:line="240" w:lineRule="auto"/>
              <w:jc w:val="center"/>
              <w:rPr>
                <w:rFonts w:ascii="Times New Roman" w:hAnsi="Times New Roman" w:eastAsia="宋体" w:cs="Times New Roman"/>
                <w:highlight w:val="yellow"/>
              </w:rPr>
            </w:pPr>
            <w:r>
              <w:rPr>
                <w:rFonts w:ascii="Times New Roman" w:hAnsi="Times New Roman" w:eastAsia="宋体" w:cs="Times New Roman"/>
              </w:rPr>
              <w:t>（</w:t>
            </w:r>
            <w:r>
              <w:rPr>
                <w:rFonts w:ascii="Times New Roman" w:hAnsi="Times New Roman" w:eastAsia="宋体" w:cs="Times New Roman"/>
                <w:u w:val="single"/>
              </w:rPr>
              <w:t xml:space="preserve"> 12</w:t>
            </w:r>
            <w:r>
              <w:rPr>
                <w:rFonts w:hint="eastAsia" w:ascii="Times New Roman" w:hAnsi="Times New Roman" w:eastAsia="宋体" w:cs="Times New Roman"/>
                <w:u w:val="single"/>
              </w:rPr>
              <w:t>0</w:t>
            </w:r>
            <w:r>
              <w:rPr>
                <w:rFonts w:ascii="Times New Roman" w:hAnsi="Times New Roman" w:eastAsia="宋体" w:cs="Times New Roman"/>
                <w:u w:val="single"/>
              </w:rPr>
              <w:t xml:space="preserve">  </w:t>
            </w:r>
            <w:r>
              <w:rPr>
                <w:rFonts w:ascii="Times New Roman" w:hAnsi="Times New Roman" w:eastAsia="宋体" w:cs="Times New Roman"/>
              </w:rPr>
              <w:t>度</w:t>
            </w:r>
            <w:r>
              <w:rPr>
                <w:rFonts w:ascii="Times New Roman" w:hAnsi="Times New Roman" w:eastAsia="宋体" w:cs="Times New Roman"/>
                <w:u w:val="single"/>
              </w:rPr>
              <w:t xml:space="preserve"> </w:t>
            </w:r>
            <w:r>
              <w:rPr>
                <w:rFonts w:hint="eastAsia" w:ascii="Times New Roman" w:hAnsi="Times New Roman" w:eastAsia="宋体" w:cs="Times New Roman"/>
                <w:u w:val="single"/>
              </w:rPr>
              <w:t>18</w:t>
            </w:r>
            <w:r>
              <w:rPr>
                <w:rFonts w:ascii="Times New Roman" w:hAnsi="Times New Roman" w:eastAsia="宋体" w:cs="Times New Roman"/>
                <w:u w:val="single"/>
              </w:rPr>
              <w:t xml:space="preserve"> </w:t>
            </w:r>
            <w:r>
              <w:rPr>
                <w:rFonts w:ascii="Times New Roman" w:hAnsi="Times New Roman" w:eastAsia="宋体" w:cs="Times New Roman"/>
              </w:rPr>
              <w:t>分</w:t>
            </w:r>
            <w:r>
              <w:rPr>
                <w:rFonts w:ascii="Times New Roman" w:hAnsi="Times New Roman" w:eastAsia="宋体" w:cs="Times New Roman"/>
                <w:u w:val="single"/>
              </w:rPr>
              <w:t xml:space="preserve"> </w:t>
            </w:r>
            <w:r>
              <w:rPr>
                <w:rFonts w:hint="eastAsia" w:ascii="Times New Roman" w:hAnsi="Times New Roman" w:eastAsia="宋体" w:cs="Times New Roman"/>
                <w:u w:val="single"/>
              </w:rPr>
              <w:t>3.564</w:t>
            </w:r>
            <w:r>
              <w:rPr>
                <w:rFonts w:ascii="Times New Roman" w:hAnsi="Times New Roman" w:eastAsia="宋体" w:cs="Times New Roman"/>
                <w:u w:val="single"/>
              </w:rPr>
              <w:t xml:space="preserve"> </w:t>
            </w:r>
            <w:r>
              <w:rPr>
                <w:rFonts w:ascii="Times New Roman" w:hAnsi="Times New Roman" w:eastAsia="宋体" w:cs="Times New Roman"/>
              </w:rPr>
              <w:t>秒，</w:t>
            </w:r>
            <w:r>
              <w:rPr>
                <w:rFonts w:ascii="Times New Roman" w:hAnsi="Times New Roman" w:eastAsia="宋体" w:cs="Times New Roman"/>
                <w:u w:val="single"/>
              </w:rPr>
              <w:t xml:space="preserve"> </w:t>
            </w:r>
            <w:r>
              <w:rPr>
                <w:rFonts w:hint="eastAsia" w:ascii="Times New Roman" w:hAnsi="Times New Roman" w:eastAsia="宋体" w:cs="Times New Roman"/>
                <w:u w:val="single"/>
              </w:rPr>
              <w:t>30</w:t>
            </w:r>
            <w:r>
              <w:rPr>
                <w:rFonts w:ascii="Times New Roman" w:hAnsi="Times New Roman" w:eastAsia="宋体" w:cs="Times New Roman"/>
                <w:u w:val="single"/>
              </w:rPr>
              <w:t xml:space="preserve"> </w:t>
            </w:r>
            <w:r>
              <w:rPr>
                <w:rFonts w:ascii="Times New Roman" w:hAnsi="Times New Roman" w:eastAsia="宋体" w:cs="Times New Roman"/>
              </w:rPr>
              <w:t>度</w:t>
            </w:r>
            <w:r>
              <w:rPr>
                <w:rFonts w:ascii="Times New Roman" w:hAnsi="Times New Roman" w:eastAsia="宋体" w:cs="Times New Roman"/>
                <w:u w:val="single"/>
              </w:rPr>
              <w:t xml:space="preserve"> </w:t>
            </w:r>
            <w:r>
              <w:rPr>
                <w:rFonts w:hint="eastAsia" w:ascii="Times New Roman" w:hAnsi="Times New Roman" w:eastAsia="宋体" w:cs="Times New Roman"/>
                <w:u w:val="single"/>
              </w:rPr>
              <w:t>22</w:t>
            </w:r>
            <w:r>
              <w:rPr>
                <w:rFonts w:ascii="Times New Roman" w:hAnsi="Times New Roman" w:eastAsia="宋体" w:cs="Times New Roman"/>
                <w:u w:val="single"/>
              </w:rPr>
              <w:t xml:space="preserve"> </w:t>
            </w:r>
            <w:r>
              <w:rPr>
                <w:rFonts w:ascii="Times New Roman" w:hAnsi="Times New Roman" w:eastAsia="宋体" w:cs="Times New Roman"/>
              </w:rPr>
              <w:t>分</w:t>
            </w:r>
            <w:r>
              <w:rPr>
                <w:rFonts w:ascii="Times New Roman" w:hAnsi="Times New Roman" w:eastAsia="宋体" w:cs="Times New Roman"/>
                <w:u w:val="single"/>
              </w:rPr>
              <w:t xml:space="preserve"> </w:t>
            </w:r>
            <w:r>
              <w:rPr>
                <w:rFonts w:hint="eastAsia" w:ascii="Times New Roman" w:hAnsi="Times New Roman" w:eastAsia="宋体" w:cs="Times New Roman"/>
                <w:u w:val="single"/>
              </w:rPr>
              <w:t>58.490</w:t>
            </w:r>
            <w:r>
              <w:rPr>
                <w:rFonts w:ascii="Times New Roman" w:hAnsi="Times New Roman" w:eastAsia="宋体" w:cs="Times New Roman"/>
                <w:u w:val="single"/>
              </w:rPr>
              <w:t xml:space="preserve"> </w:t>
            </w:r>
            <w:r>
              <w:rPr>
                <w:rFonts w:ascii="Times New Roman" w:hAnsi="Times New Roman" w:eastAsia="宋体" w:cs="Times New Roman"/>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Align w:val="center"/>
          </w:tcPr>
          <w:p>
            <w:pPr>
              <w:adjustRightInd w:val="0"/>
              <w:snapToGrid w:val="0"/>
              <w:spacing w:line="240" w:lineRule="auto"/>
              <w:jc w:val="center"/>
              <w:rPr>
                <w:rFonts w:eastAsia="宋体"/>
              </w:rPr>
            </w:pPr>
            <w:r>
              <w:rPr>
                <w:rFonts w:eastAsia="宋体"/>
              </w:rPr>
              <w:t>国民经济</w:t>
            </w:r>
          </w:p>
          <w:p>
            <w:pPr>
              <w:pStyle w:val="16"/>
              <w:spacing w:line="240" w:lineRule="auto"/>
              <w:jc w:val="center"/>
              <w:rPr>
                <w:rFonts w:ascii="Times New Roman" w:hAnsi="Times New Roman" w:eastAsia="宋体" w:cs="Times New Roman"/>
              </w:rPr>
            </w:pPr>
            <w:r>
              <w:rPr>
                <w:rFonts w:ascii="Times New Roman" w:hAnsi="Times New Roman" w:eastAsia="宋体" w:cs="Times New Roman"/>
              </w:rPr>
              <w:t>行业类别</w:t>
            </w:r>
          </w:p>
        </w:tc>
        <w:tc>
          <w:tcPr>
            <w:tcW w:w="1451" w:type="pct"/>
            <w:vAlign w:val="center"/>
          </w:tcPr>
          <w:p>
            <w:pPr>
              <w:pStyle w:val="16"/>
              <w:spacing w:line="240" w:lineRule="auto"/>
              <w:jc w:val="center"/>
              <w:rPr>
                <w:rFonts w:ascii="Times New Roman" w:hAnsi="Times New Roman" w:eastAsia="宋体" w:cs="Times New Roman"/>
              </w:rPr>
            </w:pPr>
            <w:r>
              <w:rPr>
                <w:rFonts w:ascii="Times New Roman" w:hAnsi="Times New Roman" w:eastAsia="宋体" w:cs="Times New Roman"/>
              </w:rPr>
              <w:t>P</w:t>
            </w:r>
            <w:r>
              <w:rPr>
                <w:rFonts w:hint="eastAsia" w:ascii="Times New Roman" w:hAnsi="Times New Roman" w:eastAsia="宋体" w:cs="Times New Roman"/>
              </w:rPr>
              <w:t>8</w:t>
            </w:r>
            <w:r>
              <w:rPr>
                <w:rFonts w:ascii="Times New Roman" w:hAnsi="Times New Roman" w:eastAsia="宋体" w:cs="Times New Roman"/>
              </w:rPr>
              <w:t>3</w:t>
            </w:r>
            <w:r>
              <w:rPr>
                <w:rFonts w:hint="eastAsia" w:ascii="Times New Roman" w:hAnsi="Times New Roman" w:eastAsia="宋体" w:cs="Times New Roman"/>
              </w:rPr>
              <w:t>21普通小学教育</w:t>
            </w:r>
          </w:p>
          <w:p>
            <w:pPr>
              <w:pStyle w:val="16"/>
              <w:spacing w:line="240" w:lineRule="auto"/>
              <w:jc w:val="center"/>
              <w:rPr>
                <w:rFonts w:ascii="Times New Roman" w:hAnsi="Times New Roman" w:eastAsia="宋体" w:cs="Times New Roman"/>
              </w:rPr>
            </w:pPr>
            <w:r>
              <w:rPr>
                <w:rFonts w:hint="eastAsia" w:ascii="Times New Roman" w:hAnsi="Times New Roman" w:eastAsia="宋体" w:cs="Times New Roman"/>
              </w:rPr>
              <w:t>P8331普通初中教育</w:t>
            </w:r>
          </w:p>
        </w:tc>
        <w:tc>
          <w:tcPr>
            <w:tcW w:w="1196" w:type="pct"/>
            <w:vAlign w:val="center"/>
          </w:tcPr>
          <w:p>
            <w:pPr>
              <w:adjustRightInd w:val="0"/>
              <w:snapToGrid w:val="0"/>
              <w:spacing w:line="276" w:lineRule="auto"/>
              <w:jc w:val="center"/>
              <w:rPr>
                <w:rFonts w:eastAsia="宋体"/>
              </w:rPr>
            </w:pPr>
            <w:r>
              <w:rPr>
                <w:rFonts w:eastAsia="宋体"/>
              </w:rPr>
              <w:t>建设项目</w:t>
            </w:r>
          </w:p>
          <w:p>
            <w:pPr>
              <w:pStyle w:val="16"/>
              <w:spacing w:line="240" w:lineRule="auto"/>
              <w:jc w:val="center"/>
              <w:rPr>
                <w:rFonts w:ascii="Times New Roman" w:hAnsi="Times New Roman" w:eastAsia="宋体" w:cs="Times New Roman"/>
              </w:rPr>
            </w:pPr>
            <w:r>
              <w:rPr>
                <w:rFonts w:eastAsia="宋体"/>
              </w:rPr>
              <w:t>行业类别</w:t>
            </w:r>
          </w:p>
        </w:tc>
        <w:tc>
          <w:tcPr>
            <w:tcW w:w="1500" w:type="pct"/>
            <w:vAlign w:val="center"/>
          </w:tcPr>
          <w:p>
            <w:pPr>
              <w:pStyle w:val="16"/>
              <w:spacing w:line="240" w:lineRule="auto"/>
              <w:jc w:val="center"/>
              <w:rPr>
                <w:rFonts w:ascii="Times New Roman" w:hAnsi="Times New Roman" w:eastAsia="宋体" w:cs="Times New Roman"/>
              </w:rPr>
            </w:pPr>
            <w:r>
              <w:rPr>
                <w:rFonts w:hint="eastAsia" w:ascii="Times New Roman" w:hAnsi="Times New Roman" w:eastAsia="宋体" w:cs="Times New Roman"/>
              </w:rPr>
              <w:t>五十、社会事业与服务业/</w:t>
            </w:r>
            <w:r>
              <w:rPr>
                <w:rFonts w:ascii="Times New Roman" w:hAnsi="Times New Roman" w:eastAsia="宋体" w:cs="Times New Roman"/>
              </w:rPr>
              <w:t xml:space="preserve">110 </w:t>
            </w:r>
            <w:r>
              <w:rPr>
                <w:rFonts w:hint="eastAsia" w:ascii="Times New Roman" w:hAnsi="Times New Roman" w:eastAsia="宋体" w:cs="Times New Roman"/>
              </w:rPr>
              <w:t>学校、福利院、养老院（建筑面积5</w:t>
            </w:r>
            <w:r>
              <w:rPr>
                <w:rFonts w:ascii="Times New Roman" w:hAnsi="Times New Roman" w:eastAsia="宋体" w:cs="Times New Roman"/>
              </w:rPr>
              <w:t>000</w:t>
            </w:r>
            <w:r>
              <w:rPr>
                <w:rFonts w:hint="eastAsia" w:ascii="Times New Roman" w:hAnsi="Times New Roman" w:eastAsia="宋体" w:cs="Times New Roman"/>
              </w:rPr>
              <w:t>平方米及以上的）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Align w:val="center"/>
          </w:tcPr>
          <w:p>
            <w:pPr>
              <w:pStyle w:val="16"/>
              <w:spacing w:line="240" w:lineRule="auto"/>
              <w:jc w:val="center"/>
              <w:rPr>
                <w:rFonts w:ascii="Times New Roman" w:hAnsi="Times New Roman" w:eastAsia="宋体" w:cs="Times New Roman"/>
              </w:rPr>
            </w:pPr>
            <w:r>
              <w:rPr>
                <w:rFonts w:ascii="Times New Roman" w:hAnsi="Times New Roman" w:eastAsia="宋体" w:cs="Times New Roman"/>
              </w:rPr>
              <w:t>建设性质</w:t>
            </w:r>
          </w:p>
        </w:tc>
        <w:tc>
          <w:tcPr>
            <w:tcW w:w="1451" w:type="pct"/>
            <w:vAlign w:val="center"/>
          </w:tcPr>
          <w:p>
            <w:pPr>
              <w:pStyle w:val="16"/>
              <w:spacing w:line="240" w:lineRule="auto"/>
              <w:jc w:val="left"/>
              <w:rPr>
                <w:rFonts w:ascii="Times New Roman" w:hAnsi="Times New Roman" w:eastAsia="宋体" w:cs="Times New Roman"/>
                <w:sz w:val="21"/>
                <w:szCs w:val="21"/>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新建（迁建）</w:t>
            </w:r>
          </w:p>
          <w:p>
            <w:pPr>
              <w:pStyle w:val="16"/>
              <w:spacing w:line="240" w:lineRule="auto"/>
              <w:jc w:val="left"/>
              <w:rPr>
                <w:rFonts w:ascii="Times New Roman" w:hAnsi="Times New Roman" w:eastAsia="宋体" w:cs="Times New Roman"/>
                <w:szCs w:val="21"/>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改建</w:t>
            </w:r>
          </w:p>
          <w:p>
            <w:pPr>
              <w:pStyle w:val="16"/>
              <w:spacing w:line="240" w:lineRule="auto"/>
              <w:jc w:val="left"/>
              <w:rPr>
                <w:rFonts w:ascii="Times New Roman" w:hAnsi="Times New Roman" w:eastAsia="宋体" w:cs="Times New Roman"/>
                <w:szCs w:val="21"/>
              </w:rPr>
            </w:pPr>
            <w:r>
              <w:rPr>
                <w:rFonts w:hint="eastAsia" w:ascii="Times New Roman" w:hAnsi="Times New Roman" w:eastAsia="宋体" w:cs="Times New Roman"/>
                <w:szCs w:val="21"/>
              </w:rPr>
              <w:t>□扩建</w:t>
            </w:r>
          </w:p>
          <w:p>
            <w:pPr>
              <w:pStyle w:val="16"/>
              <w:spacing w:line="240" w:lineRule="auto"/>
              <w:rPr>
                <w:rFonts w:ascii="Times New Roman" w:hAnsi="Times New Roman" w:eastAsia="宋体" w:cs="Times New Roman"/>
              </w:rPr>
            </w:pPr>
            <w:r>
              <w:rPr>
                <w:rFonts w:hint="eastAsia" w:ascii="Times New Roman" w:hAnsi="Times New Roman" w:eastAsia="宋体" w:cs="Times New Roman"/>
                <w:szCs w:val="21"/>
              </w:rPr>
              <w:t>□技术改造</w:t>
            </w:r>
          </w:p>
        </w:tc>
        <w:tc>
          <w:tcPr>
            <w:tcW w:w="1196" w:type="pct"/>
            <w:vAlign w:val="center"/>
          </w:tcPr>
          <w:p>
            <w:pPr>
              <w:pStyle w:val="16"/>
              <w:spacing w:line="240" w:lineRule="auto"/>
              <w:jc w:val="center"/>
              <w:rPr>
                <w:rFonts w:ascii="Times New Roman" w:hAnsi="Times New Roman" w:eastAsia="宋体" w:cs="Times New Roman"/>
              </w:rPr>
            </w:pPr>
            <w:r>
              <w:rPr>
                <w:rFonts w:eastAsia="宋体"/>
              </w:rPr>
              <w:t>建设项目申报情形</w:t>
            </w:r>
          </w:p>
        </w:tc>
        <w:tc>
          <w:tcPr>
            <w:tcW w:w="1500" w:type="pct"/>
            <w:vAlign w:val="center"/>
          </w:tcPr>
          <w:p>
            <w:pPr>
              <w:pStyle w:val="16"/>
              <w:spacing w:line="240" w:lineRule="auto"/>
              <w:jc w:val="left"/>
              <w:rPr>
                <w:rFonts w:ascii="宋体" w:hAnsi="宋体" w:eastAsia="宋体" w:cs="宋体"/>
                <w:sz w:val="21"/>
                <w:szCs w:val="21"/>
              </w:rPr>
            </w:pPr>
            <w:r>
              <w:rPr>
                <w:rFonts w:hint="eastAsia" w:ascii="Times New Roman" w:hAnsi="Times New Roman" w:eastAsia="宋体" w:cs="Times New Roman"/>
                <w:szCs w:val="21"/>
                <w:lang w:eastAsia="zh-CN"/>
              </w:rPr>
              <w:t>☑</w:t>
            </w:r>
            <w:r>
              <w:rPr>
                <w:rFonts w:hint="eastAsia" w:ascii="宋体" w:hAnsi="宋体" w:eastAsia="宋体" w:cs="宋体"/>
                <w:szCs w:val="21"/>
              </w:rPr>
              <w:t>首次申报项目</w:t>
            </w:r>
            <w:r>
              <w:rPr>
                <w:rFonts w:ascii="宋体" w:hAnsi="宋体" w:eastAsia="宋体" w:cs="宋体"/>
                <w:szCs w:val="21"/>
              </w:rPr>
              <w:t xml:space="preserve">       </w:t>
            </w:r>
          </w:p>
          <w:p>
            <w:pPr>
              <w:pStyle w:val="16"/>
              <w:spacing w:line="240" w:lineRule="auto"/>
              <w:jc w:val="left"/>
              <w:rPr>
                <w:rFonts w:ascii="宋体" w:hAnsi="宋体" w:eastAsia="宋体" w:cs="宋体"/>
                <w:szCs w:val="21"/>
              </w:rPr>
            </w:pPr>
            <w:r>
              <w:rPr>
                <w:rFonts w:hint="eastAsia" w:ascii="宋体" w:hAnsi="宋体" w:eastAsia="宋体" w:cs="宋体"/>
                <w:szCs w:val="21"/>
              </w:rPr>
              <w:t>□不予批准后再次申报项目</w:t>
            </w:r>
          </w:p>
          <w:p>
            <w:pPr>
              <w:pStyle w:val="16"/>
              <w:spacing w:line="240" w:lineRule="auto"/>
              <w:jc w:val="left"/>
              <w:rPr>
                <w:rFonts w:ascii="宋体" w:hAnsi="宋体" w:eastAsia="宋体" w:cs="宋体"/>
                <w:szCs w:val="21"/>
              </w:rPr>
            </w:pPr>
            <w:r>
              <w:rPr>
                <w:rFonts w:hint="eastAsia" w:ascii="Times New Roman" w:hAnsi="Times New Roman" w:eastAsia="宋体" w:cs="Times New Roman"/>
                <w:szCs w:val="21"/>
                <w:lang w:eastAsia="zh-CN"/>
              </w:rPr>
              <w:t>□</w:t>
            </w:r>
            <w:r>
              <w:rPr>
                <w:rFonts w:hint="eastAsia" w:ascii="宋体" w:hAnsi="宋体" w:eastAsia="宋体" w:cs="宋体"/>
                <w:szCs w:val="21"/>
              </w:rPr>
              <w:t>超五年重新审核项目</w:t>
            </w:r>
          </w:p>
          <w:p>
            <w:pPr>
              <w:pStyle w:val="16"/>
              <w:spacing w:line="240" w:lineRule="auto"/>
              <w:rPr>
                <w:rFonts w:ascii="Times New Roman" w:hAnsi="Times New Roman" w:eastAsia="宋体" w:cs="Times New Roman"/>
              </w:rPr>
            </w:pPr>
            <w:r>
              <w:rPr>
                <w:rFonts w:hint="eastAsia" w:ascii="宋体" w:hAnsi="宋体" w:eastAsia="宋体" w:cs="宋体"/>
                <w:szCs w:val="21"/>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Align w:val="center"/>
          </w:tcPr>
          <w:p>
            <w:pPr>
              <w:pStyle w:val="16"/>
              <w:spacing w:line="240" w:lineRule="auto"/>
              <w:jc w:val="center"/>
              <w:rPr>
                <w:rFonts w:ascii="Times New Roman" w:hAnsi="Times New Roman" w:eastAsia="宋体" w:cs="Times New Roman"/>
              </w:rPr>
            </w:pPr>
            <w:r>
              <w:rPr>
                <w:rFonts w:ascii="Times New Roman" w:hAnsi="Times New Roman" w:eastAsia="宋体" w:cs="Times New Roman"/>
              </w:rPr>
              <w:t>项目审批（核准/备案）部门</w:t>
            </w:r>
          </w:p>
        </w:tc>
        <w:tc>
          <w:tcPr>
            <w:tcW w:w="1451" w:type="pct"/>
            <w:vAlign w:val="center"/>
          </w:tcPr>
          <w:p>
            <w:pPr>
              <w:pStyle w:val="16"/>
              <w:spacing w:line="240" w:lineRule="auto"/>
              <w:jc w:val="center"/>
              <w:rPr>
                <w:rFonts w:ascii="Times New Roman" w:hAnsi="Times New Roman" w:eastAsia="宋体" w:cs="Times New Roman"/>
              </w:rPr>
            </w:pPr>
            <w:r>
              <w:rPr>
                <w:rFonts w:hint="eastAsia" w:ascii="Times New Roman" w:hAnsi="Times New Roman" w:eastAsia="宋体" w:cs="Times New Roman"/>
              </w:rPr>
              <w:t>杭州市临平区发展和改革局</w:t>
            </w:r>
          </w:p>
        </w:tc>
        <w:tc>
          <w:tcPr>
            <w:tcW w:w="1196" w:type="pct"/>
            <w:vAlign w:val="center"/>
          </w:tcPr>
          <w:p>
            <w:pPr>
              <w:pStyle w:val="16"/>
              <w:spacing w:line="240" w:lineRule="auto"/>
              <w:jc w:val="center"/>
              <w:rPr>
                <w:rFonts w:ascii="Times New Roman" w:hAnsi="Times New Roman" w:eastAsia="宋体" w:cs="Times New Roman"/>
              </w:rPr>
            </w:pPr>
            <w:r>
              <w:rPr>
                <w:rFonts w:eastAsia="宋体"/>
              </w:rPr>
              <w:t>项目审批（核准/备案）文号</w:t>
            </w:r>
          </w:p>
        </w:tc>
        <w:tc>
          <w:tcPr>
            <w:tcW w:w="1500" w:type="pct"/>
            <w:vAlign w:val="center"/>
          </w:tcPr>
          <w:p>
            <w:pPr>
              <w:pStyle w:val="16"/>
              <w:spacing w:line="240" w:lineRule="auto"/>
              <w:jc w:val="center"/>
              <w:rPr>
                <w:rFonts w:ascii="Times New Roman" w:hAnsi="Times New Roman" w:eastAsia="宋体" w:cs="Times New Roman"/>
              </w:rPr>
            </w:pPr>
            <w:r>
              <w:rPr>
                <w:rFonts w:hint="eastAsia" w:ascii="Times New Roman" w:hAnsi="Times New Roman" w:eastAsia="宋体" w:cs="Times New Roman"/>
              </w:rPr>
              <w:t>临发改临新[2023]34号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Align w:val="center"/>
          </w:tcPr>
          <w:p>
            <w:pPr>
              <w:adjustRightInd w:val="0"/>
              <w:snapToGrid w:val="0"/>
              <w:spacing w:line="240" w:lineRule="auto"/>
              <w:jc w:val="center"/>
              <w:rPr>
                <w:rFonts w:eastAsia="宋体"/>
              </w:rPr>
            </w:pPr>
            <w:r>
              <w:rPr>
                <w:rFonts w:eastAsia="宋体"/>
              </w:rPr>
              <w:t>总投资</w:t>
            </w:r>
          </w:p>
          <w:p>
            <w:pPr>
              <w:pStyle w:val="16"/>
              <w:spacing w:line="240" w:lineRule="auto"/>
              <w:jc w:val="center"/>
              <w:rPr>
                <w:rFonts w:ascii="Times New Roman" w:hAnsi="Times New Roman" w:eastAsia="宋体" w:cs="Times New Roman"/>
              </w:rPr>
            </w:pPr>
            <w:r>
              <w:rPr>
                <w:rFonts w:ascii="Times New Roman" w:hAnsi="Times New Roman" w:eastAsia="宋体" w:cs="Times New Roman"/>
              </w:rPr>
              <w:t>（万元）</w:t>
            </w:r>
          </w:p>
        </w:tc>
        <w:tc>
          <w:tcPr>
            <w:tcW w:w="1451" w:type="pct"/>
            <w:vAlign w:val="center"/>
          </w:tcPr>
          <w:p>
            <w:pPr>
              <w:pStyle w:val="16"/>
              <w:spacing w:line="240" w:lineRule="auto"/>
              <w:jc w:val="center"/>
              <w:rPr>
                <w:rFonts w:ascii="Times New Roman" w:hAnsi="Times New Roman" w:eastAsia="宋体" w:cs="Times New Roman"/>
              </w:rPr>
            </w:pPr>
            <w:r>
              <w:rPr>
                <w:rFonts w:hint="eastAsia" w:ascii="Times New Roman" w:hAnsi="Times New Roman" w:eastAsia="宋体" w:cs="Times New Roman"/>
              </w:rPr>
              <w:t>37819</w:t>
            </w:r>
          </w:p>
        </w:tc>
        <w:tc>
          <w:tcPr>
            <w:tcW w:w="1196" w:type="pct"/>
            <w:vAlign w:val="center"/>
          </w:tcPr>
          <w:p>
            <w:pPr>
              <w:adjustRightInd w:val="0"/>
              <w:snapToGrid w:val="0"/>
              <w:spacing w:line="276" w:lineRule="auto"/>
              <w:jc w:val="center"/>
              <w:rPr>
                <w:rFonts w:eastAsia="宋体"/>
              </w:rPr>
            </w:pPr>
            <w:r>
              <w:rPr>
                <w:rFonts w:eastAsia="宋体"/>
              </w:rPr>
              <w:t>环保投资</w:t>
            </w:r>
          </w:p>
          <w:p>
            <w:pPr>
              <w:pStyle w:val="16"/>
              <w:spacing w:line="240" w:lineRule="auto"/>
              <w:jc w:val="center"/>
              <w:rPr>
                <w:rFonts w:ascii="Times New Roman" w:hAnsi="Times New Roman" w:eastAsia="宋体" w:cs="Times New Roman"/>
              </w:rPr>
            </w:pPr>
            <w:r>
              <w:rPr>
                <w:rFonts w:eastAsia="宋体"/>
              </w:rPr>
              <w:t>（万元）</w:t>
            </w:r>
          </w:p>
        </w:tc>
        <w:tc>
          <w:tcPr>
            <w:tcW w:w="1500" w:type="pct"/>
            <w:vAlign w:val="center"/>
          </w:tcPr>
          <w:p>
            <w:pPr>
              <w:pStyle w:val="16"/>
              <w:spacing w:line="240" w:lineRule="auto"/>
              <w:jc w:val="center"/>
              <w:rPr>
                <w:rFonts w:ascii="Times New Roman" w:hAnsi="Times New Roman" w:eastAsia="宋体" w:cs="Times New Roman"/>
              </w:rPr>
            </w:pPr>
            <w:r>
              <w:rPr>
                <w:rFonts w:hint="eastAsia" w:ascii="Times New Roman" w:hAnsi="Times New Roman" w:eastAsia="宋体" w:cs="Times New Roman"/>
              </w:rPr>
              <w:t>3</w:t>
            </w:r>
            <w:r>
              <w:rPr>
                <w:rFonts w:ascii="Times New Roman" w:hAnsi="Times New Roman" w:eastAsia="宋体" w:cs="Times New Roma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Align w:val="center"/>
          </w:tcPr>
          <w:p>
            <w:pPr>
              <w:pStyle w:val="16"/>
              <w:spacing w:line="240" w:lineRule="auto"/>
              <w:jc w:val="center"/>
              <w:rPr>
                <w:rFonts w:ascii="Times New Roman" w:hAnsi="Times New Roman" w:eastAsia="宋体" w:cs="Times New Roman"/>
              </w:rPr>
            </w:pPr>
            <w:r>
              <w:rPr>
                <w:rFonts w:ascii="Times New Roman" w:hAnsi="Times New Roman" w:eastAsia="宋体" w:cs="Times New Roman"/>
              </w:rPr>
              <w:t>环保投资占比（%）</w:t>
            </w:r>
          </w:p>
        </w:tc>
        <w:tc>
          <w:tcPr>
            <w:tcW w:w="1451" w:type="pct"/>
            <w:vAlign w:val="center"/>
          </w:tcPr>
          <w:p>
            <w:pPr>
              <w:pStyle w:val="16"/>
              <w:spacing w:line="240" w:lineRule="auto"/>
              <w:jc w:val="center"/>
              <w:rPr>
                <w:rFonts w:ascii="Times New Roman" w:hAnsi="Times New Roman" w:eastAsia="宋体" w:cs="Times New Roman"/>
              </w:rPr>
            </w:pPr>
            <w:r>
              <w:rPr>
                <w:rFonts w:hint="eastAsia" w:ascii="Times New Roman" w:hAnsi="Times New Roman" w:eastAsia="宋体" w:cs="Times New Roman"/>
              </w:rPr>
              <w:t>0.79</w:t>
            </w:r>
          </w:p>
        </w:tc>
        <w:tc>
          <w:tcPr>
            <w:tcW w:w="1196" w:type="pct"/>
            <w:vAlign w:val="center"/>
          </w:tcPr>
          <w:p>
            <w:pPr>
              <w:pStyle w:val="16"/>
              <w:spacing w:line="240" w:lineRule="auto"/>
              <w:jc w:val="center"/>
              <w:rPr>
                <w:rFonts w:ascii="Times New Roman" w:hAnsi="Times New Roman" w:eastAsia="宋体" w:cs="Times New Roman"/>
              </w:rPr>
            </w:pPr>
            <w:r>
              <w:rPr>
                <w:rFonts w:eastAsia="宋体"/>
              </w:rPr>
              <w:t>施工工期</w:t>
            </w:r>
          </w:p>
        </w:tc>
        <w:tc>
          <w:tcPr>
            <w:tcW w:w="1500" w:type="pct"/>
            <w:vAlign w:val="center"/>
          </w:tcPr>
          <w:p>
            <w:pPr>
              <w:pStyle w:val="16"/>
              <w:spacing w:line="240" w:lineRule="auto"/>
              <w:jc w:val="center"/>
              <w:rPr>
                <w:rFonts w:ascii="Times New Roman" w:hAnsi="Times New Roman" w:eastAsia="宋体" w:cs="Times New Roman"/>
              </w:rPr>
            </w:pPr>
            <w:r>
              <w:rPr>
                <w:rFonts w:hint="eastAsia" w:ascii="Times New Roman" w:hAnsi="Times New Roman" w:eastAsia="宋体" w:cs="Times New Roman"/>
              </w:rPr>
              <w:t>24个月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Align w:val="center"/>
          </w:tcPr>
          <w:p>
            <w:pPr>
              <w:adjustRightInd w:val="0"/>
              <w:snapToGrid w:val="0"/>
              <w:spacing w:line="240" w:lineRule="auto"/>
              <w:jc w:val="center"/>
              <w:rPr>
                <w:rFonts w:eastAsia="宋体"/>
                <w:kern w:val="0"/>
              </w:rPr>
            </w:pPr>
            <w:r>
              <w:rPr>
                <w:rFonts w:eastAsia="宋体"/>
                <w:kern w:val="0"/>
              </w:rPr>
              <w:t>是否</w:t>
            </w:r>
          </w:p>
          <w:p>
            <w:pPr>
              <w:pStyle w:val="16"/>
              <w:spacing w:line="240" w:lineRule="auto"/>
              <w:jc w:val="center"/>
              <w:rPr>
                <w:rFonts w:ascii="Times New Roman" w:hAnsi="Times New Roman" w:eastAsia="宋体" w:cs="Times New Roman"/>
              </w:rPr>
            </w:pPr>
            <w:r>
              <w:rPr>
                <w:rFonts w:ascii="Times New Roman" w:hAnsi="Times New Roman" w:eastAsia="宋体" w:cs="Times New Roman"/>
                <w:kern w:val="0"/>
              </w:rPr>
              <w:t>开工建设</w:t>
            </w:r>
          </w:p>
        </w:tc>
        <w:tc>
          <w:tcPr>
            <w:tcW w:w="1451" w:type="pct"/>
            <w:vAlign w:val="center"/>
          </w:tcPr>
          <w:p>
            <w:pPr>
              <w:adjustRightInd w:val="0"/>
              <w:snapToGrid w:val="0"/>
              <w:spacing w:line="240" w:lineRule="auto"/>
              <w:rPr>
                <w:rFonts w:eastAsia="宋体"/>
                <w:kern w:val="0"/>
              </w:rPr>
            </w:pPr>
            <w:r>
              <w:rPr>
                <w:rFonts w:hint="eastAsia" w:eastAsia="宋体" w:cs="Times New Roman"/>
                <w:szCs w:val="21"/>
                <w:lang w:eastAsia="zh-CN"/>
              </w:rPr>
              <w:t>☑</w:t>
            </w:r>
            <w:r>
              <w:rPr>
                <w:rFonts w:hint="eastAsia" w:eastAsia="宋体"/>
                <w:kern w:val="0"/>
              </w:rPr>
              <w:t>否</w:t>
            </w:r>
          </w:p>
          <w:p>
            <w:pPr>
              <w:adjustRightInd w:val="0"/>
              <w:snapToGrid w:val="0"/>
              <w:spacing w:line="240" w:lineRule="auto"/>
              <w:jc w:val="left"/>
              <w:rPr>
                <w:rFonts w:eastAsia="宋体"/>
              </w:rPr>
            </w:pPr>
            <w:r>
              <w:rPr>
                <w:rFonts w:hint="eastAsia" w:ascii="Times New Roman" w:hAnsi="Times New Roman" w:eastAsia="宋体" w:cs="Times New Roman"/>
                <w:szCs w:val="21"/>
                <w:lang w:eastAsia="zh-CN"/>
              </w:rPr>
              <w:t>□</w:t>
            </w:r>
            <w:r>
              <w:rPr>
                <w:rFonts w:hint="eastAsia" w:eastAsia="宋体"/>
                <w:kern w:val="0"/>
              </w:rPr>
              <w:t>是：</w:t>
            </w:r>
            <w:r>
              <w:rPr>
                <w:rFonts w:eastAsia="宋体"/>
                <w:kern w:val="0"/>
              </w:rPr>
              <w:t xml:space="preserve">          </w:t>
            </w:r>
          </w:p>
        </w:tc>
        <w:tc>
          <w:tcPr>
            <w:tcW w:w="1196" w:type="pct"/>
            <w:vAlign w:val="center"/>
          </w:tcPr>
          <w:p>
            <w:pPr>
              <w:pStyle w:val="16"/>
              <w:spacing w:line="240" w:lineRule="auto"/>
              <w:jc w:val="center"/>
              <w:rPr>
                <w:rFonts w:ascii="Times New Roman" w:hAnsi="Times New Roman" w:eastAsia="宋体" w:cs="Times New Roman"/>
              </w:rPr>
            </w:pPr>
            <w:r>
              <w:rPr>
                <w:rFonts w:ascii="Times New Roman" w:hAnsi="Times New Roman" w:eastAsia="宋体" w:cs="Times New Roman"/>
              </w:rPr>
              <w:t>用地（用海）面积（m</w:t>
            </w:r>
            <w:r>
              <w:rPr>
                <w:rFonts w:ascii="Times New Roman" w:hAnsi="Times New Roman" w:eastAsia="宋体" w:cs="Times New Roman"/>
                <w:vertAlign w:val="superscript"/>
              </w:rPr>
              <w:t>2</w:t>
            </w:r>
            <w:r>
              <w:rPr>
                <w:rFonts w:ascii="Times New Roman" w:hAnsi="Times New Roman" w:eastAsia="宋体" w:cs="Times New Roman"/>
              </w:rPr>
              <w:t>）</w:t>
            </w:r>
          </w:p>
        </w:tc>
        <w:tc>
          <w:tcPr>
            <w:tcW w:w="1500" w:type="pct"/>
            <w:vAlign w:val="center"/>
          </w:tcPr>
          <w:p>
            <w:pPr>
              <w:pStyle w:val="16"/>
              <w:spacing w:line="240" w:lineRule="auto"/>
              <w:jc w:val="center"/>
              <w:rPr>
                <w:rFonts w:ascii="Times New Roman" w:hAnsi="Times New Roman" w:eastAsia="宋体" w:cs="Times New Roman"/>
              </w:rPr>
            </w:pPr>
            <w:r>
              <w:rPr>
                <w:rFonts w:hint="eastAsia" w:ascii="Times New Roman" w:hAnsi="Times New Roman" w:eastAsia="宋体" w:cs="Times New Roman"/>
              </w:rPr>
              <w:t>45869</w:t>
            </w:r>
            <w:r>
              <w:rPr>
                <w:rFonts w:ascii="Times New Roman" w:hAnsi="Times New Roman" w:eastAsia="宋体" w:cs="Times New Roman"/>
              </w:rPr>
              <w:t>m</w:t>
            </w:r>
            <w:r>
              <w:rPr>
                <w:rFonts w:ascii="Times New Roman" w:hAnsi="Times New Roman" w:eastAsia="宋体" w:cs="Times New Roman"/>
                <w:vertAlign w:val="superscript"/>
              </w:rPr>
              <w:t>2</w:t>
            </w:r>
            <w:r>
              <w:rPr>
                <w:rFonts w:ascii="Times New Roman" w:hAnsi="Times New Roman" w:eastAsia="宋体" w:cs="Times New Roman"/>
              </w:rPr>
              <w:t>（用地面积）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Align w:val="center"/>
          </w:tcPr>
          <w:p>
            <w:pPr>
              <w:adjustRightInd w:val="0"/>
              <w:snapToGrid w:val="0"/>
              <w:spacing w:line="240" w:lineRule="auto"/>
              <w:jc w:val="center"/>
              <w:rPr>
                <w:rFonts w:eastAsia="宋体"/>
                <w:kern w:val="0"/>
              </w:rPr>
            </w:pPr>
            <w:r>
              <w:rPr>
                <w:rFonts w:hint="eastAsia" w:eastAsia="宋体"/>
                <w:kern w:val="0"/>
              </w:rPr>
              <w:t>专项评价设置情况</w:t>
            </w:r>
          </w:p>
        </w:tc>
        <w:tc>
          <w:tcPr>
            <w:tcW w:w="4147" w:type="pct"/>
            <w:gridSpan w:val="3"/>
            <w:vAlign w:val="center"/>
          </w:tcPr>
          <w:p>
            <w:pPr>
              <w:autoSpaceDE w:val="0"/>
              <w:autoSpaceDN w:val="0"/>
              <w:spacing w:before="156" w:beforeLines="50" w:line="240" w:lineRule="auto"/>
              <w:jc w:val="center"/>
              <w:rPr>
                <w:rFonts w:eastAsia="宋体"/>
                <w:b/>
                <w:bCs/>
                <w:kern w:val="0"/>
              </w:rPr>
            </w:pPr>
            <w:r>
              <w:rPr>
                <w:rFonts w:eastAsia="宋体"/>
                <w:b/>
                <w:bCs/>
                <w:sz w:val="21"/>
                <w:szCs w:val="16"/>
              </w:rPr>
              <w:t>表1 专项评价设置判别表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00"/>
              <w:gridCol w:w="2681"/>
              <w:gridCol w:w="2385"/>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9" w:type="dxa"/>
                  <w:shd w:val="clear" w:color="auto" w:fill="auto"/>
                  <w:vAlign w:val="center"/>
                </w:tcPr>
                <w:p>
                  <w:pPr>
                    <w:pStyle w:val="44"/>
                    <w:spacing w:before="0" w:line="240" w:lineRule="auto"/>
                    <w:rPr>
                      <w:rFonts w:ascii="Times New Roman" w:eastAsia="宋体"/>
                      <w:b/>
                      <w:bCs/>
                      <w:sz w:val="21"/>
                      <w:szCs w:val="16"/>
                    </w:rPr>
                  </w:pPr>
                  <w:r>
                    <w:rPr>
                      <w:rFonts w:ascii="Times New Roman" w:eastAsia="宋体"/>
                      <w:b/>
                      <w:bCs/>
                      <w:sz w:val="21"/>
                      <w:szCs w:val="16"/>
                    </w:rPr>
                    <w:t>专项评价类别</w:t>
                  </w:r>
                </w:p>
              </w:tc>
              <w:tc>
                <w:tcPr>
                  <w:tcW w:w="3014" w:type="dxa"/>
                  <w:shd w:val="clear" w:color="auto" w:fill="auto"/>
                  <w:vAlign w:val="center"/>
                </w:tcPr>
                <w:p>
                  <w:pPr>
                    <w:pStyle w:val="44"/>
                    <w:spacing w:before="0" w:line="240" w:lineRule="auto"/>
                    <w:rPr>
                      <w:rFonts w:ascii="Times New Roman" w:eastAsia="宋体"/>
                      <w:b/>
                      <w:bCs/>
                      <w:sz w:val="21"/>
                      <w:szCs w:val="16"/>
                    </w:rPr>
                  </w:pPr>
                  <w:r>
                    <w:rPr>
                      <w:rFonts w:ascii="Times New Roman" w:eastAsia="宋体"/>
                      <w:b/>
                      <w:bCs/>
                      <w:sz w:val="21"/>
                      <w:szCs w:val="16"/>
                    </w:rPr>
                    <w:t>设置原则</w:t>
                  </w:r>
                </w:p>
              </w:tc>
              <w:tc>
                <w:tcPr>
                  <w:tcW w:w="2675" w:type="dxa"/>
                  <w:shd w:val="clear" w:color="auto" w:fill="auto"/>
                  <w:vAlign w:val="center"/>
                </w:tcPr>
                <w:p>
                  <w:pPr>
                    <w:pStyle w:val="44"/>
                    <w:spacing w:before="0" w:line="240" w:lineRule="auto"/>
                    <w:rPr>
                      <w:rFonts w:ascii="Times New Roman" w:eastAsia="宋体"/>
                      <w:b/>
                      <w:bCs/>
                      <w:sz w:val="21"/>
                      <w:szCs w:val="16"/>
                    </w:rPr>
                  </w:pPr>
                  <w:r>
                    <w:rPr>
                      <w:rFonts w:ascii="Times New Roman" w:eastAsia="宋体"/>
                      <w:b/>
                      <w:bCs/>
                      <w:sz w:val="21"/>
                      <w:szCs w:val="16"/>
                    </w:rPr>
                    <w:t>本项目情况</w:t>
                  </w:r>
                </w:p>
              </w:tc>
              <w:tc>
                <w:tcPr>
                  <w:tcW w:w="1094" w:type="dxa"/>
                  <w:shd w:val="clear" w:color="auto" w:fill="auto"/>
                  <w:vAlign w:val="center"/>
                </w:tcPr>
                <w:p>
                  <w:pPr>
                    <w:pStyle w:val="44"/>
                    <w:spacing w:before="0" w:line="240" w:lineRule="auto"/>
                    <w:rPr>
                      <w:rFonts w:ascii="Times New Roman" w:eastAsia="宋体"/>
                      <w:b/>
                      <w:bCs/>
                      <w:sz w:val="21"/>
                      <w:szCs w:val="16"/>
                    </w:rPr>
                  </w:pPr>
                  <w:r>
                    <w:rPr>
                      <w:rFonts w:ascii="Times New Roman" w:eastAsia="宋体"/>
                      <w:b/>
                      <w:bCs/>
                      <w:sz w:val="21"/>
                      <w:szCs w:val="16"/>
                    </w:rPr>
                    <w:t>是否设置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9" w:type="dxa"/>
                  <w:shd w:val="clear" w:color="auto" w:fill="auto"/>
                  <w:vAlign w:val="center"/>
                </w:tcPr>
                <w:p>
                  <w:pPr>
                    <w:pStyle w:val="44"/>
                    <w:spacing w:before="0" w:line="240" w:lineRule="auto"/>
                    <w:rPr>
                      <w:rFonts w:ascii="Times New Roman" w:eastAsia="宋体"/>
                      <w:sz w:val="21"/>
                      <w:szCs w:val="16"/>
                    </w:rPr>
                  </w:pPr>
                  <w:r>
                    <w:rPr>
                      <w:rFonts w:ascii="Times New Roman" w:eastAsia="宋体"/>
                      <w:sz w:val="21"/>
                      <w:szCs w:val="16"/>
                    </w:rPr>
                    <w:t>大气</w:t>
                  </w:r>
                </w:p>
              </w:tc>
              <w:tc>
                <w:tcPr>
                  <w:tcW w:w="3014" w:type="dxa"/>
                  <w:shd w:val="clear" w:color="auto" w:fill="auto"/>
                  <w:vAlign w:val="center"/>
                </w:tcPr>
                <w:p>
                  <w:pPr>
                    <w:pStyle w:val="44"/>
                    <w:spacing w:before="0" w:line="240" w:lineRule="auto"/>
                    <w:rPr>
                      <w:rFonts w:ascii="Times New Roman" w:eastAsia="宋体"/>
                      <w:sz w:val="21"/>
                      <w:szCs w:val="16"/>
                    </w:rPr>
                  </w:pPr>
                  <w:r>
                    <w:rPr>
                      <w:rFonts w:ascii="Times New Roman" w:eastAsia="宋体"/>
                      <w:sz w:val="21"/>
                      <w:szCs w:val="16"/>
                    </w:rPr>
                    <w:t>排放废气含有毒有害污染物</w:t>
                  </w:r>
                  <w:r>
                    <w:rPr>
                      <w:rFonts w:hint="eastAsia" w:ascii="Times New Roman" w:eastAsia="宋体"/>
                      <w:sz w:val="21"/>
                      <w:szCs w:val="16"/>
                      <w:vertAlign w:val="superscript"/>
                    </w:rPr>
                    <w:t>1</w:t>
                  </w:r>
                  <w:r>
                    <w:rPr>
                      <w:rFonts w:ascii="Times New Roman" w:eastAsia="宋体"/>
                      <w:sz w:val="21"/>
                      <w:szCs w:val="16"/>
                    </w:rPr>
                    <w:t>、二噁英、苯并[a]芘、氰化物、氯气且厂界外500米范围内有环境空气保护目标</w:t>
                  </w:r>
                  <w:r>
                    <w:rPr>
                      <w:rFonts w:hint="eastAsia" w:ascii="Times New Roman" w:eastAsia="宋体"/>
                      <w:sz w:val="21"/>
                      <w:szCs w:val="16"/>
                      <w:vertAlign w:val="superscript"/>
                    </w:rPr>
                    <w:t>2</w:t>
                  </w:r>
                  <w:r>
                    <w:rPr>
                      <w:rFonts w:ascii="Times New Roman" w:eastAsia="宋体"/>
                      <w:sz w:val="21"/>
                      <w:szCs w:val="16"/>
                    </w:rPr>
                    <w:t>的建设项目</w:t>
                  </w:r>
                </w:p>
              </w:tc>
              <w:tc>
                <w:tcPr>
                  <w:tcW w:w="2675" w:type="dxa"/>
                  <w:shd w:val="clear" w:color="auto" w:fill="auto"/>
                  <w:vAlign w:val="center"/>
                </w:tcPr>
                <w:p>
                  <w:pPr>
                    <w:pStyle w:val="44"/>
                    <w:spacing w:before="0" w:line="240" w:lineRule="auto"/>
                    <w:rPr>
                      <w:rFonts w:ascii="Times New Roman" w:eastAsia="宋体"/>
                      <w:sz w:val="21"/>
                      <w:szCs w:val="16"/>
                    </w:rPr>
                  </w:pPr>
                  <w:r>
                    <w:rPr>
                      <w:rFonts w:hint="eastAsia" w:ascii="Times New Roman" w:eastAsia="宋体"/>
                      <w:kern w:val="0"/>
                      <w:sz w:val="21"/>
                      <w:szCs w:val="16"/>
                    </w:rPr>
                    <w:t>本项目所用物料成分中不含有毒有害污染物</w:t>
                  </w:r>
                </w:p>
              </w:tc>
              <w:tc>
                <w:tcPr>
                  <w:tcW w:w="1094" w:type="dxa"/>
                  <w:shd w:val="clear" w:color="auto" w:fill="auto"/>
                  <w:vAlign w:val="center"/>
                </w:tcPr>
                <w:p>
                  <w:pPr>
                    <w:pStyle w:val="44"/>
                    <w:spacing w:before="0" w:line="240" w:lineRule="auto"/>
                    <w:rPr>
                      <w:rFonts w:ascii="Times New Roman" w:eastAsia="宋体"/>
                      <w:sz w:val="21"/>
                      <w:szCs w:val="16"/>
                    </w:rPr>
                  </w:pPr>
                  <w:r>
                    <w:rPr>
                      <w:rFonts w:hint="eastAsia" w:ascii="Times New Roman" w:eastAsia="宋体"/>
                      <w:sz w:val="21"/>
                      <w:szCs w:val="16"/>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9" w:type="dxa"/>
                  <w:shd w:val="clear" w:color="auto" w:fill="auto"/>
                  <w:vAlign w:val="center"/>
                </w:tcPr>
                <w:p>
                  <w:pPr>
                    <w:pStyle w:val="44"/>
                    <w:spacing w:before="0" w:line="240" w:lineRule="auto"/>
                    <w:rPr>
                      <w:rFonts w:ascii="Times New Roman" w:eastAsia="宋体"/>
                      <w:sz w:val="21"/>
                      <w:szCs w:val="16"/>
                    </w:rPr>
                  </w:pPr>
                  <w:r>
                    <w:rPr>
                      <w:rFonts w:ascii="Times New Roman" w:eastAsia="宋体"/>
                      <w:sz w:val="21"/>
                      <w:szCs w:val="16"/>
                    </w:rPr>
                    <w:t>地表水</w:t>
                  </w:r>
                </w:p>
              </w:tc>
              <w:tc>
                <w:tcPr>
                  <w:tcW w:w="3014" w:type="dxa"/>
                  <w:shd w:val="clear" w:color="auto" w:fill="auto"/>
                  <w:vAlign w:val="center"/>
                </w:tcPr>
                <w:p>
                  <w:pPr>
                    <w:pStyle w:val="44"/>
                    <w:spacing w:before="0" w:line="240" w:lineRule="auto"/>
                    <w:rPr>
                      <w:rFonts w:ascii="Times New Roman" w:eastAsia="宋体"/>
                      <w:sz w:val="21"/>
                      <w:szCs w:val="16"/>
                    </w:rPr>
                  </w:pPr>
                  <w:r>
                    <w:rPr>
                      <w:rFonts w:ascii="Times New Roman" w:eastAsia="宋体"/>
                      <w:sz w:val="21"/>
                      <w:szCs w:val="16"/>
                    </w:rPr>
                    <w:t>新增工业废水直排建设项目（槽罐车外送污水处理厂的除外）；新增废水直排的污水集中处理厂</w:t>
                  </w:r>
                </w:p>
              </w:tc>
              <w:tc>
                <w:tcPr>
                  <w:tcW w:w="2675" w:type="dxa"/>
                  <w:shd w:val="clear" w:color="auto" w:fill="auto"/>
                  <w:vAlign w:val="center"/>
                </w:tcPr>
                <w:p>
                  <w:pPr>
                    <w:pStyle w:val="44"/>
                    <w:spacing w:before="0" w:line="240" w:lineRule="auto"/>
                    <w:jc w:val="both"/>
                    <w:rPr>
                      <w:rFonts w:ascii="Times New Roman" w:eastAsia="宋体"/>
                      <w:sz w:val="21"/>
                      <w:szCs w:val="16"/>
                      <w:highlight w:val="yellow"/>
                    </w:rPr>
                  </w:pPr>
                  <w:r>
                    <w:rPr>
                      <w:rFonts w:ascii="Times New Roman" w:eastAsia="宋体"/>
                      <w:sz w:val="21"/>
                      <w:szCs w:val="16"/>
                    </w:rPr>
                    <w:t>本项目</w:t>
                  </w:r>
                  <w:r>
                    <w:rPr>
                      <w:rFonts w:hint="eastAsia" w:ascii="Times New Roman" w:eastAsia="宋体"/>
                      <w:sz w:val="21"/>
                      <w:szCs w:val="16"/>
                    </w:rPr>
                    <w:t>实验室废水经酸碱中和处理后纳管排放，生活污水经化粪池处理，食堂废水经隔油池处理后</w:t>
                  </w:r>
                  <w:r>
                    <w:rPr>
                      <w:rFonts w:ascii="Times New Roman" w:eastAsia="宋体"/>
                      <w:sz w:val="21"/>
                      <w:szCs w:val="16"/>
                    </w:rPr>
                    <w:t>纳管</w:t>
                  </w:r>
                  <w:r>
                    <w:rPr>
                      <w:rFonts w:hint="eastAsia" w:ascii="Times New Roman" w:eastAsia="宋体"/>
                      <w:sz w:val="21"/>
                      <w:szCs w:val="16"/>
                    </w:rPr>
                    <w:t>排放。</w:t>
                  </w:r>
                </w:p>
              </w:tc>
              <w:tc>
                <w:tcPr>
                  <w:tcW w:w="1094" w:type="dxa"/>
                  <w:shd w:val="clear" w:color="auto" w:fill="auto"/>
                  <w:vAlign w:val="center"/>
                </w:tcPr>
                <w:p>
                  <w:pPr>
                    <w:pStyle w:val="44"/>
                    <w:spacing w:before="0" w:line="240" w:lineRule="auto"/>
                    <w:rPr>
                      <w:rFonts w:ascii="Times New Roman" w:eastAsia="宋体"/>
                      <w:sz w:val="21"/>
                      <w:szCs w:val="16"/>
                    </w:rPr>
                  </w:pPr>
                  <w:r>
                    <w:rPr>
                      <w:rFonts w:hint="eastAsia" w:ascii="Times New Roman" w:eastAsia="宋体"/>
                      <w:sz w:val="21"/>
                      <w:szCs w:val="16"/>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9" w:type="dxa"/>
                  <w:shd w:val="clear" w:color="auto" w:fill="auto"/>
                  <w:vAlign w:val="center"/>
                </w:tcPr>
                <w:p>
                  <w:pPr>
                    <w:pStyle w:val="44"/>
                    <w:spacing w:before="0" w:line="240" w:lineRule="auto"/>
                    <w:rPr>
                      <w:rFonts w:ascii="Times New Roman" w:eastAsia="宋体"/>
                      <w:sz w:val="21"/>
                      <w:szCs w:val="16"/>
                    </w:rPr>
                  </w:pPr>
                  <w:bookmarkStart w:id="2" w:name="OLE_LINK1" w:colFirst="0" w:colLast="3"/>
                  <w:r>
                    <w:rPr>
                      <w:rFonts w:ascii="Times New Roman" w:eastAsia="宋体"/>
                      <w:sz w:val="21"/>
                      <w:szCs w:val="16"/>
                    </w:rPr>
                    <w:t>风险</w:t>
                  </w:r>
                </w:p>
              </w:tc>
              <w:tc>
                <w:tcPr>
                  <w:tcW w:w="3014" w:type="dxa"/>
                  <w:shd w:val="clear" w:color="auto" w:fill="auto"/>
                  <w:vAlign w:val="center"/>
                </w:tcPr>
                <w:p>
                  <w:pPr>
                    <w:pStyle w:val="44"/>
                    <w:spacing w:before="0" w:line="240" w:lineRule="auto"/>
                    <w:rPr>
                      <w:rFonts w:ascii="Times New Roman" w:eastAsia="宋体"/>
                      <w:sz w:val="21"/>
                      <w:szCs w:val="16"/>
                    </w:rPr>
                  </w:pPr>
                  <w:r>
                    <w:rPr>
                      <w:rFonts w:ascii="Times New Roman" w:eastAsia="宋体"/>
                      <w:sz w:val="21"/>
                      <w:szCs w:val="16"/>
                    </w:rPr>
                    <w:t>有毒有害和易燃易爆危险物质存储量超过临界量</w:t>
                  </w:r>
                  <w:r>
                    <w:rPr>
                      <w:rFonts w:hint="eastAsia" w:ascii="Times New Roman" w:eastAsia="宋体"/>
                      <w:sz w:val="21"/>
                      <w:szCs w:val="16"/>
                      <w:vertAlign w:val="superscript"/>
                    </w:rPr>
                    <w:t>3</w:t>
                  </w:r>
                  <w:r>
                    <w:rPr>
                      <w:rFonts w:ascii="Times New Roman" w:eastAsia="宋体"/>
                      <w:sz w:val="21"/>
                      <w:szCs w:val="16"/>
                    </w:rPr>
                    <w:t>的建设项目</w:t>
                  </w:r>
                </w:p>
              </w:tc>
              <w:tc>
                <w:tcPr>
                  <w:tcW w:w="2675" w:type="dxa"/>
                  <w:shd w:val="clear" w:color="auto" w:fill="auto"/>
                  <w:vAlign w:val="center"/>
                </w:tcPr>
                <w:p>
                  <w:pPr>
                    <w:pStyle w:val="44"/>
                    <w:spacing w:before="0" w:line="240" w:lineRule="auto"/>
                    <w:rPr>
                      <w:rFonts w:ascii="Times New Roman" w:eastAsia="宋体"/>
                      <w:sz w:val="21"/>
                      <w:szCs w:val="16"/>
                    </w:rPr>
                  </w:pPr>
                  <w:r>
                    <w:rPr>
                      <w:rFonts w:ascii="Times New Roman" w:eastAsia="宋体"/>
                      <w:sz w:val="21"/>
                      <w:szCs w:val="16"/>
                    </w:rPr>
                    <w:t>本项目Q&lt;1</w:t>
                  </w:r>
                  <w:r>
                    <w:rPr>
                      <w:rFonts w:hint="eastAsia" w:ascii="Times New Roman" w:eastAsia="宋体"/>
                      <w:sz w:val="21"/>
                      <w:szCs w:val="16"/>
                    </w:rPr>
                    <w:t>。</w:t>
                  </w:r>
                </w:p>
              </w:tc>
              <w:tc>
                <w:tcPr>
                  <w:tcW w:w="1094" w:type="dxa"/>
                  <w:shd w:val="clear" w:color="auto" w:fill="auto"/>
                  <w:vAlign w:val="center"/>
                </w:tcPr>
                <w:p>
                  <w:pPr>
                    <w:pStyle w:val="44"/>
                    <w:spacing w:before="0" w:line="240" w:lineRule="auto"/>
                    <w:rPr>
                      <w:rFonts w:ascii="Times New Roman" w:eastAsia="宋体"/>
                      <w:sz w:val="21"/>
                      <w:szCs w:val="16"/>
                    </w:rPr>
                  </w:pPr>
                  <w:r>
                    <w:rPr>
                      <w:rFonts w:hint="eastAsia" w:ascii="Times New Roman" w:eastAsia="宋体"/>
                      <w:sz w:val="21"/>
                      <w:szCs w:val="16"/>
                    </w:rPr>
                    <w:t>否</w:t>
                  </w:r>
                </w:p>
              </w:tc>
            </w:tr>
            <w:bookmarkEnd w:id="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9" w:type="dxa"/>
                  <w:shd w:val="clear" w:color="auto" w:fill="auto"/>
                  <w:vAlign w:val="center"/>
                </w:tcPr>
                <w:p>
                  <w:pPr>
                    <w:pStyle w:val="44"/>
                    <w:spacing w:before="0" w:line="240" w:lineRule="auto"/>
                    <w:rPr>
                      <w:rFonts w:ascii="Times New Roman" w:eastAsia="宋体"/>
                      <w:sz w:val="21"/>
                      <w:szCs w:val="16"/>
                    </w:rPr>
                  </w:pPr>
                  <w:r>
                    <w:rPr>
                      <w:rFonts w:ascii="Times New Roman" w:eastAsia="宋体"/>
                      <w:sz w:val="21"/>
                      <w:szCs w:val="16"/>
                    </w:rPr>
                    <w:t>生态</w:t>
                  </w:r>
                </w:p>
              </w:tc>
              <w:tc>
                <w:tcPr>
                  <w:tcW w:w="3014" w:type="dxa"/>
                  <w:shd w:val="clear" w:color="auto" w:fill="auto"/>
                  <w:vAlign w:val="center"/>
                </w:tcPr>
                <w:p>
                  <w:pPr>
                    <w:pStyle w:val="44"/>
                    <w:spacing w:before="0" w:line="240" w:lineRule="auto"/>
                    <w:rPr>
                      <w:rFonts w:ascii="Times New Roman" w:eastAsia="宋体"/>
                      <w:sz w:val="21"/>
                      <w:szCs w:val="16"/>
                    </w:rPr>
                  </w:pPr>
                  <w:r>
                    <w:rPr>
                      <w:rFonts w:ascii="Times New Roman" w:eastAsia="宋体"/>
                      <w:sz w:val="21"/>
                      <w:szCs w:val="16"/>
                    </w:rPr>
                    <w:t>取水口下游500米范围内有重要水生生物的自然产卵场、索饵场、越冬场和洄游通道的新增河道取水的污染类建设项目</w:t>
                  </w:r>
                </w:p>
              </w:tc>
              <w:tc>
                <w:tcPr>
                  <w:tcW w:w="2675" w:type="dxa"/>
                  <w:shd w:val="clear" w:color="auto" w:fill="auto"/>
                  <w:vAlign w:val="center"/>
                </w:tcPr>
                <w:p>
                  <w:pPr>
                    <w:pStyle w:val="44"/>
                    <w:spacing w:before="0" w:line="240" w:lineRule="auto"/>
                    <w:rPr>
                      <w:rFonts w:ascii="Times New Roman" w:eastAsia="宋体"/>
                      <w:sz w:val="21"/>
                      <w:szCs w:val="16"/>
                    </w:rPr>
                  </w:pPr>
                  <w:r>
                    <w:rPr>
                      <w:rFonts w:ascii="Times New Roman" w:eastAsia="宋体"/>
                      <w:sz w:val="21"/>
                      <w:szCs w:val="16"/>
                    </w:rPr>
                    <w:t>本项目由市政管网供水</w:t>
                  </w:r>
                  <w:r>
                    <w:rPr>
                      <w:rFonts w:hint="eastAsia" w:ascii="Times New Roman" w:eastAsia="宋体"/>
                      <w:sz w:val="21"/>
                      <w:szCs w:val="16"/>
                    </w:rPr>
                    <w:t>，不从河道取水。</w:t>
                  </w:r>
                </w:p>
              </w:tc>
              <w:tc>
                <w:tcPr>
                  <w:tcW w:w="1094" w:type="dxa"/>
                  <w:shd w:val="clear" w:color="auto" w:fill="auto"/>
                  <w:vAlign w:val="center"/>
                </w:tcPr>
                <w:p>
                  <w:pPr>
                    <w:pStyle w:val="44"/>
                    <w:spacing w:before="0" w:line="240" w:lineRule="auto"/>
                    <w:rPr>
                      <w:rFonts w:ascii="Times New Roman" w:eastAsia="宋体"/>
                      <w:sz w:val="21"/>
                      <w:szCs w:val="16"/>
                    </w:rPr>
                  </w:pPr>
                  <w:r>
                    <w:rPr>
                      <w:rFonts w:hint="eastAsia" w:ascii="Times New Roman" w:eastAsia="宋体"/>
                      <w:sz w:val="21"/>
                      <w:szCs w:val="16"/>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9" w:type="dxa"/>
                  <w:shd w:val="clear" w:color="auto" w:fill="auto"/>
                  <w:vAlign w:val="center"/>
                </w:tcPr>
                <w:p>
                  <w:pPr>
                    <w:pStyle w:val="44"/>
                    <w:spacing w:before="0" w:line="240" w:lineRule="auto"/>
                    <w:rPr>
                      <w:rFonts w:ascii="Times New Roman" w:eastAsia="宋体"/>
                      <w:sz w:val="21"/>
                      <w:szCs w:val="16"/>
                    </w:rPr>
                  </w:pPr>
                  <w:r>
                    <w:rPr>
                      <w:rFonts w:ascii="Times New Roman" w:eastAsia="宋体"/>
                      <w:sz w:val="21"/>
                      <w:szCs w:val="16"/>
                    </w:rPr>
                    <w:t>海洋</w:t>
                  </w:r>
                </w:p>
              </w:tc>
              <w:tc>
                <w:tcPr>
                  <w:tcW w:w="3014" w:type="dxa"/>
                  <w:shd w:val="clear" w:color="auto" w:fill="auto"/>
                  <w:vAlign w:val="center"/>
                </w:tcPr>
                <w:p>
                  <w:pPr>
                    <w:pStyle w:val="44"/>
                    <w:spacing w:before="0" w:line="240" w:lineRule="auto"/>
                    <w:rPr>
                      <w:rFonts w:ascii="Times New Roman" w:eastAsia="宋体"/>
                      <w:sz w:val="21"/>
                      <w:szCs w:val="16"/>
                    </w:rPr>
                  </w:pPr>
                  <w:r>
                    <w:rPr>
                      <w:rFonts w:ascii="Times New Roman" w:eastAsia="宋体"/>
                      <w:sz w:val="21"/>
                      <w:szCs w:val="16"/>
                    </w:rPr>
                    <w:t>直接向海洋排放污染物的海洋工程建设项目</w:t>
                  </w:r>
                </w:p>
              </w:tc>
              <w:tc>
                <w:tcPr>
                  <w:tcW w:w="2675" w:type="dxa"/>
                  <w:shd w:val="clear" w:color="auto" w:fill="auto"/>
                  <w:vAlign w:val="center"/>
                </w:tcPr>
                <w:p>
                  <w:pPr>
                    <w:pStyle w:val="44"/>
                    <w:spacing w:before="0" w:line="240" w:lineRule="auto"/>
                    <w:rPr>
                      <w:rFonts w:ascii="Times New Roman" w:eastAsia="宋体"/>
                      <w:sz w:val="21"/>
                      <w:szCs w:val="16"/>
                    </w:rPr>
                  </w:pPr>
                  <w:r>
                    <w:rPr>
                      <w:rFonts w:ascii="Times New Roman" w:eastAsia="宋体"/>
                      <w:sz w:val="21"/>
                      <w:szCs w:val="16"/>
                    </w:rPr>
                    <w:t>本项目不属于海洋工程建设项目</w:t>
                  </w:r>
                  <w:r>
                    <w:rPr>
                      <w:rFonts w:hint="eastAsia" w:ascii="Times New Roman" w:eastAsia="宋体"/>
                      <w:sz w:val="21"/>
                      <w:szCs w:val="16"/>
                    </w:rPr>
                    <w:t>。</w:t>
                  </w:r>
                </w:p>
              </w:tc>
              <w:tc>
                <w:tcPr>
                  <w:tcW w:w="1094" w:type="dxa"/>
                  <w:shd w:val="clear" w:color="auto" w:fill="auto"/>
                  <w:vAlign w:val="center"/>
                </w:tcPr>
                <w:p>
                  <w:pPr>
                    <w:pStyle w:val="44"/>
                    <w:spacing w:before="0" w:line="240" w:lineRule="auto"/>
                    <w:rPr>
                      <w:rFonts w:ascii="Times New Roman" w:eastAsia="宋体"/>
                      <w:sz w:val="21"/>
                      <w:szCs w:val="16"/>
                    </w:rPr>
                  </w:pPr>
                  <w:r>
                    <w:rPr>
                      <w:rFonts w:hint="eastAsia" w:ascii="Times New Roman" w:eastAsia="宋体"/>
                      <w:sz w:val="21"/>
                      <w:szCs w:val="16"/>
                    </w:rPr>
                    <w:t>否</w:t>
                  </w:r>
                </w:p>
              </w:tc>
            </w:tr>
          </w:tbl>
          <w:p>
            <w:pPr>
              <w:autoSpaceDE w:val="0"/>
              <w:autoSpaceDN w:val="0"/>
              <w:spacing w:line="240" w:lineRule="auto"/>
              <w:ind w:firstLine="420" w:firstLineChars="200"/>
              <w:rPr>
                <w:rFonts w:eastAsia="宋体"/>
                <w:sz w:val="21"/>
                <w:szCs w:val="21"/>
              </w:rPr>
            </w:pPr>
            <w:r>
              <w:rPr>
                <w:rFonts w:eastAsia="宋体"/>
                <w:sz w:val="21"/>
                <w:szCs w:val="21"/>
              </w:rPr>
              <w:t>注：1.废气中有毒有害污染物指纳入《有毒有害大气污染物名录》的污染物（不包括无排放标准的污染物）。</w:t>
            </w:r>
          </w:p>
          <w:p>
            <w:pPr>
              <w:autoSpaceDE w:val="0"/>
              <w:autoSpaceDN w:val="0"/>
              <w:spacing w:line="240" w:lineRule="auto"/>
              <w:ind w:firstLine="420" w:firstLineChars="200"/>
              <w:rPr>
                <w:rFonts w:eastAsia="宋体"/>
                <w:sz w:val="21"/>
                <w:szCs w:val="21"/>
              </w:rPr>
            </w:pPr>
            <w:r>
              <w:rPr>
                <w:rFonts w:eastAsia="宋体"/>
                <w:sz w:val="21"/>
                <w:szCs w:val="21"/>
              </w:rPr>
              <w:t>2.环境空气保护目标指自然保护区、风景名胜区、居住区、文化区和农村地区中人群较集中的区域。</w:t>
            </w:r>
          </w:p>
          <w:p>
            <w:pPr>
              <w:pStyle w:val="16"/>
              <w:spacing w:line="240" w:lineRule="auto"/>
              <w:ind w:firstLine="420" w:firstLineChars="200"/>
              <w:rPr>
                <w:rFonts w:ascii="Times New Roman" w:hAnsi="Times New Roman" w:eastAsia="宋体" w:cs="Times New Roman"/>
              </w:rPr>
            </w:pPr>
            <w:r>
              <w:rPr>
                <w:rFonts w:ascii="Times New Roman" w:hAnsi="Times New Roman" w:eastAsia="宋体" w:cs="Times New Roman"/>
                <w:sz w:val="21"/>
                <w:szCs w:val="21"/>
              </w:rPr>
              <w:t>3.临界量及其计算方法可参考《建设项目环境风险评价技术导则》（HJ 169）附录B、附录C。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Align w:val="center"/>
          </w:tcPr>
          <w:p>
            <w:pPr>
              <w:adjustRightInd w:val="0"/>
              <w:snapToGrid w:val="0"/>
              <w:spacing w:line="240" w:lineRule="auto"/>
              <w:jc w:val="center"/>
              <w:rPr>
                <w:rFonts w:eastAsia="宋体"/>
                <w:kern w:val="0"/>
              </w:rPr>
            </w:pPr>
            <w:r>
              <w:rPr>
                <w:rFonts w:eastAsia="宋体"/>
                <w:kern w:val="0"/>
              </w:rPr>
              <w:t>规划情况</w:t>
            </w:r>
          </w:p>
        </w:tc>
        <w:tc>
          <w:tcPr>
            <w:tcW w:w="4147" w:type="pct"/>
            <w:gridSpan w:val="3"/>
            <w:vAlign w:val="center"/>
          </w:tcPr>
          <w:p>
            <w:pPr>
              <w:jc w:val="left"/>
              <w:rPr>
                <w:rFonts w:hint="eastAsia" w:ascii="宋体" w:hAnsi="宋体" w:eastAsia="宋体" w:cs="宋体"/>
                <w:lang w:eastAsia="zh-CN"/>
              </w:rPr>
            </w:pPr>
            <w:r>
              <w:rPr>
                <w:rFonts w:ascii="宋体" w:hAnsi="宋体" w:eastAsia="宋体" w:cs="宋体"/>
              </w:rPr>
              <w:t>规划名称：《</w:t>
            </w:r>
            <w:r>
              <w:rPr>
                <w:rFonts w:hint="eastAsia" w:ascii="宋体" w:hAnsi="宋体" w:eastAsia="宋体" w:cs="宋体"/>
              </w:rPr>
              <w:t>杭州市临平区乔司单元详细规划</w:t>
            </w:r>
            <w:r>
              <w:rPr>
                <w:rFonts w:ascii="宋体" w:hAnsi="宋体" w:eastAsia="宋体" w:cs="宋体"/>
              </w:rPr>
              <w:t>》</w:t>
            </w:r>
            <w:r>
              <w:rPr>
                <w:rFonts w:hint="eastAsia" w:ascii="宋体" w:hAnsi="宋体" w:eastAsia="宋体" w:cs="宋体"/>
                <w:lang w:eastAsia="zh-CN"/>
              </w:rPr>
              <w:t>（</w:t>
            </w:r>
            <w:r>
              <w:rPr>
                <w:rFonts w:hint="eastAsia" w:ascii="宋体" w:hAnsi="宋体" w:eastAsia="宋体" w:cs="宋体"/>
                <w:lang w:val="en-US" w:eastAsia="zh-CN"/>
              </w:rPr>
              <w:t>草案</w:t>
            </w:r>
            <w:r>
              <w:rPr>
                <w:rFonts w:hint="eastAsia" w:ascii="宋体" w:hAnsi="宋体" w:eastAsia="宋体" w:cs="宋体"/>
                <w:lang w:eastAsia="zh-CN"/>
              </w:rPr>
              <w:t>）</w:t>
            </w:r>
          </w:p>
          <w:p>
            <w:pPr>
              <w:jc w:val="left"/>
              <w:rPr>
                <w:rFonts w:hint="eastAsia" w:ascii="宋体" w:hAnsi="宋体" w:eastAsia="宋体" w:cs="宋体"/>
                <w:lang w:val="en-US" w:eastAsia="zh-CN"/>
              </w:rPr>
            </w:pPr>
            <w:r>
              <w:rPr>
                <w:rFonts w:hint="eastAsia" w:ascii="宋体" w:hAnsi="宋体" w:eastAsia="宋体" w:cs="宋体"/>
                <w:lang w:val="en-US" w:eastAsia="zh-CN"/>
              </w:rPr>
              <w:t>发布单位：市规划和自然资源局临平分局</w:t>
            </w:r>
          </w:p>
          <w:p>
            <w:pPr>
              <w:jc w:val="left"/>
              <w:rPr>
                <w:rFonts w:hint="default"/>
                <w:lang w:val="en-US" w:eastAsia="zh-CN"/>
              </w:rPr>
            </w:pPr>
            <w:r>
              <w:rPr>
                <w:rFonts w:hint="eastAsia" w:ascii="宋体" w:hAnsi="宋体" w:eastAsia="宋体" w:cs="宋体"/>
                <w:lang w:val="en-US" w:eastAsia="zh-CN"/>
              </w:rPr>
              <w:t>发布时间：</w:t>
            </w:r>
            <w:r>
              <w:rPr>
                <w:rFonts w:hint="default" w:ascii="Times New Roman" w:hAnsi="Times New Roman" w:eastAsia="宋体" w:cs="Times New Roman"/>
                <w:lang w:val="en-US" w:eastAsia="zh-CN"/>
              </w:rPr>
              <w:t>2023</w:t>
            </w:r>
            <w:r>
              <w:rPr>
                <w:rFonts w:hint="eastAsia" w:ascii="Times New Roman" w:hAnsi="Times New Roman" w:eastAsia="宋体" w:cs="Times New Roman"/>
                <w:lang w:val="en-US" w:eastAsia="zh-CN"/>
              </w:rPr>
              <w:t>年</w:t>
            </w:r>
            <w:r>
              <w:rPr>
                <w:rFonts w:hint="default" w:ascii="Times New Roman" w:hAnsi="Times New Roman" w:eastAsia="宋体" w:cs="Times New Roman"/>
                <w:lang w:val="en-US" w:eastAsia="zh-CN"/>
              </w:rPr>
              <w:t>8</w:t>
            </w:r>
            <w:r>
              <w:rPr>
                <w:rFonts w:hint="eastAsia" w:ascii="Times New Roman" w:hAnsi="Times New Roman" w:eastAsia="宋体" w:cs="Times New Roman"/>
                <w:lang w:val="en-US" w:eastAsia="zh-CN"/>
              </w:rPr>
              <w:t>月</w:t>
            </w:r>
            <w:r>
              <w:rPr>
                <w:rFonts w:hint="default" w:ascii="Times New Roman" w:hAnsi="Times New Roman" w:eastAsia="宋体" w:cs="Times New Roman"/>
                <w:lang w:val="en-US" w:eastAsia="zh-CN"/>
              </w:rPr>
              <w:t>10</w:t>
            </w:r>
            <w:r>
              <w:rPr>
                <w:rFonts w:hint="eastAsia" w:ascii="Times New Roman" w:hAnsi="Times New Roman" w:eastAsia="宋体" w:cs="Times New Roman"/>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Align w:val="center"/>
          </w:tcPr>
          <w:p>
            <w:pPr>
              <w:adjustRightInd w:val="0"/>
              <w:snapToGrid w:val="0"/>
              <w:spacing w:line="240" w:lineRule="auto"/>
              <w:jc w:val="center"/>
              <w:rPr>
                <w:rFonts w:eastAsia="宋体"/>
                <w:kern w:val="0"/>
              </w:rPr>
            </w:pPr>
            <w:r>
              <w:rPr>
                <w:rFonts w:eastAsia="宋体"/>
                <w:kern w:val="0"/>
              </w:rPr>
              <w:t>规划环境影响评价情况</w:t>
            </w:r>
          </w:p>
        </w:tc>
        <w:tc>
          <w:tcPr>
            <w:tcW w:w="4147" w:type="pct"/>
            <w:gridSpan w:val="3"/>
            <w:vAlign w:val="center"/>
          </w:tcPr>
          <w:p>
            <w:pPr>
              <w:autoSpaceDE w:val="0"/>
              <w:autoSpaceDN w:val="0"/>
              <w:spacing w:line="240" w:lineRule="auto"/>
              <w:jc w:val="center"/>
              <w:rPr>
                <w:rFonts w:eastAsia="宋体"/>
              </w:rPr>
            </w:pPr>
            <w:r>
              <w:rPr>
                <w:rFonts w:hint="eastAsia" w:eastAsia="宋体"/>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Align w:val="center"/>
          </w:tcPr>
          <w:p>
            <w:pPr>
              <w:adjustRightInd w:val="0"/>
              <w:snapToGrid w:val="0"/>
              <w:spacing w:line="240" w:lineRule="auto"/>
              <w:jc w:val="center"/>
              <w:rPr>
                <w:rFonts w:eastAsia="宋体"/>
                <w:kern w:val="0"/>
              </w:rPr>
            </w:pPr>
            <w:r>
              <w:rPr>
                <w:rFonts w:eastAsia="宋体"/>
                <w:kern w:val="0"/>
              </w:rPr>
              <w:t>规划及规划环境影响评价符合性分析</w:t>
            </w:r>
          </w:p>
        </w:tc>
        <w:tc>
          <w:tcPr>
            <w:tcW w:w="4147" w:type="pct"/>
            <w:gridSpan w:val="3"/>
            <w:vAlign w:val="center"/>
          </w:tcPr>
          <w:p>
            <w:pPr>
              <w:pStyle w:val="16"/>
              <w:rPr>
                <w:rFonts w:ascii="Times New Roman" w:hAnsi="Times New Roman" w:eastAsia="宋体" w:cs="Times New Roman"/>
                <w:lang w:bidi="ar"/>
              </w:rPr>
            </w:pPr>
            <w:r>
              <w:rPr>
                <w:rFonts w:eastAsia="宋体"/>
              </w:rPr>
              <w:t>《</w:t>
            </w:r>
            <w:r>
              <w:rPr>
                <w:rFonts w:hint="eastAsia" w:eastAsia="宋体"/>
              </w:rPr>
              <w:t>杭州市临平区乔司单元详细规划</w:t>
            </w:r>
            <w:r>
              <w:rPr>
                <w:rStyle w:val="39"/>
                <w:rFonts w:eastAsia="宋体"/>
                <w:sz w:val="24"/>
                <w:szCs w:val="24"/>
              </w:rPr>
              <w:t>》</w:t>
            </w:r>
            <w:r>
              <w:rPr>
                <w:rStyle w:val="39"/>
                <w:rFonts w:hint="eastAsia" w:eastAsia="宋体"/>
                <w:sz w:val="24"/>
                <w:szCs w:val="24"/>
                <w:lang w:eastAsia="zh-CN"/>
              </w:rPr>
              <w:t>（</w:t>
            </w:r>
            <w:r>
              <w:rPr>
                <w:rStyle w:val="39"/>
                <w:rFonts w:hint="eastAsia" w:eastAsia="宋体"/>
                <w:sz w:val="24"/>
                <w:szCs w:val="24"/>
                <w:lang w:val="en-US" w:eastAsia="zh-CN"/>
              </w:rPr>
              <w:t>草案</w:t>
            </w:r>
            <w:r>
              <w:rPr>
                <w:rStyle w:val="39"/>
                <w:rFonts w:hint="eastAsia" w:eastAsia="宋体"/>
                <w:sz w:val="24"/>
                <w:szCs w:val="24"/>
                <w:lang w:eastAsia="zh-CN"/>
              </w:rPr>
              <w:t>）</w:t>
            </w:r>
            <w:r>
              <w:rPr>
                <w:rStyle w:val="39"/>
                <w:rFonts w:hint="eastAsia" w:eastAsia="宋体"/>
                <w:sz w:val="24"/>
                <w:szCs w:val="24"/>
                <w:lang w:val="en-US" w:eastAsia="zh-CN"/>
              </w:rPr>
              <w:t>符合性分析</w:t>
            </w:r>
            <w:r>
              <w:rPr>
                <w:rFonts w:ascii="Times New Roman" w:hAnsi="Times New Roman" w:eastAsia="宋体" w:cs="Times New Roman"/>
                <w:lang w:bidi="ar"/>
              </w:rPr>
              <w:t>：</w:t>
            </w:r>
          </w:p>
          <w:p>
            <w:pPr>
              <w:pStyle w:val="16"/>
              <w:ind w:firstLine="482" w:firstLineChars="200"/>
              <w:rPr>
                <w:rFonts w:hint="eastAsia" w:ascii="Times New Roman" w:hAnsi="Times New Roman" w:eastAsia="宋体" w:cs="Times New Roman"/>
                <w:b/>
                <w:bCs/>
                <w:lang w:eastAsia="zh-CN" w:bidi="ar"/>
              </w:rPr>
            </w:pPr>
            <w:r>
              <w:rPr>
                <w:rFonts w:hint="eastAsia" w:ascii="Times New Roman" w:hAnsi="Times New Roman" w:eastAsia="宋体" w:cs="Times New Roman"/>
                <w:b/>
                <w:bCs/>
                <w:lang w:val="en-US" w:eastAsia="zh-CN" w:bidi="ar"/>
              </w:rPr>
              <w:t>1、</w:t>
            </w:r>
            <w:r>
              <w:rPr>
                <w:rFonts w:hint="eastAsia" w:ascii="Times New Roman" w:hAnsi="Times New Roman" w:eastAsia="宋体" w:cs="Times New Roman"/>
                <w:b/>
                <w:bCs/>
                <w:lang w:bidi="ar"/>
              </w:rPr>
              <w:t>规划范围</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bidi="ar"/>
              </w:rPr>
              <w:t>规划单元范围</w:t>
            </w:r>
            <w:r>
              <w:rPr>
                <w:rFonts w:hint="eastAsia" w:ascii="Times New Roman" w:hAnsi="Times New Roman" w:eastAsia="宋体" w:cs="Times New Roman"/>
                <w:lang w:eastAsia="zh-CN" w:bidi="ar"/>
              </w:rPr>
              <w:t>：</w:t>
            </w:r>
            <w:r>
              <w:rPr>
                <w:rFonts w:hint="eastAsia" w:ascii="Times New Roman" w:hAnsi="Times New Roman" w:eastAsia="宋体" w:cs="Times New Roman"/>
                <w:lang w:bidi="ar"/>
              </w:rPr>
              <w:t>乔司单元位于杭州市临平区南部具体界限东至临平区界</w:t>
            </w:r>
            <w:r>
              <w:rPr>
                <w:rFonts w:hint="eastAsia" w:ascii="Times New Roman" w:hAnsi="Times New Roman" w:eastAsia="宋体" w:cs="Times New Roman"/>
                <w:lang w:val="en-US" w:eastAsia="zh-CN" w:bidi="ar"/>
              </w:rPr>
              <w:t>-</w:t>
            </w:r>
            <w:r>
              <w:rPr>
                <w:rFonts w:hint="eastAsia" w:ascii="Times New Roman" w:hAnsi="Times New Roman" w:eastAsia="宋体" w:cs="Times New Roman"/>
                <w:lang w:bidi="ar"/>
              </w:rPr>
              <w:t>东湖快速路，南至绕城高速公路西、北至沪杭高速公路，单元面积约11.69平方公里</w:t>
            </w:r>
            <w:r>
              <w:rPr>
                <w:rFonts w:hint="eastAsia" w:ascii="Times New Roman" w:hAnsi="Times New Roman" w:eastAsia="宋体" w:cs="Times New Roman"/>
                <w:lang w:eastAsia="zh-CN" w:bidi="ar"/>
              </w:rPr>
              <w:t>。</w:t>
            </w:r>
          </w:p>
          <w:p>
            <w:pPr>
              <w:pStyle w:val="16"/>
              <w:ind w:firstLine="482" w:firstLineChars="200"/>
              <w:rPr>
                <w:rFonts w:hint="eastAsia" w:ascii="Times New Roman" w:hAnsi="Times New Roman" w:eastAsia="宋体" w:cs="Times New Roman"/>
                <w:b/>
                <w:bCs/>
                <w:lang w:eastAsia="zh-CN" w:bidi="ar"/>
              </w:rPr>
            </w:pPr>
            <w:r>
              <w:rPr>
                <w:rFonts w:hint="eastAsia" w:ascii="Times New Roman" w:hAnsi="Times New Roman" w:eastAsia="宋体" w:cs="Times New Roman"/>
                <w:b/>
                <w:bCs/>
                <w:lang w:val="en-US" w:eastAsia="zh-CN" w:bidi="ar"/>
              </w:rPr>
              <w:t>2、</w:t>
            </w:r>
            <w:r>
              <w:rPr>
                <w:rFonts w:hint="eastAsia" w:ascii="Times New Roman" w:hAnsi="Times New Roman" w:eastAsia="宋体" w:cs="Times New Roman"/>
                <w:b/>
                <w:bCs/>
                <w:lang w:eastAsia="zh-CN" w:bidi="ar"/>
              </w:rPr>
              <w:t>规划目标</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在“沪杭融合战略支点、杭嘉一体示范高地、杭州东部共富窗口、拥江发展北延重地”的区域角色定位下，以建设“前湾数智城”为规划目标，打造融长接沪先锋地、云尚数智新锐区、东部活力新中心。</w:t>
            </w:r>
          </w:p>
          <w:p>
            <w:pPr>
              <w:pStyle w:val="16"/>
              <w:ind w:firstLine="482" w:firstLineChars="200"/>
              <w:rPr>
                <w:rFonts w:hint="eastAsia" w:ascii="Times New Roman" w:hAnsi="Times New Roman" w:eastAsia="宋体" w:cs="Times New Roman"/>
                <w:b/>
                <w:bCs/>
                <w:lang w:eastAsia="zh-CN" w:bidi="ar"/>
              </w:rPr>
            </w:pPr>
            <w:r>
              <w:rPr>
                <w:rFonts w:hint="eastAsia" w:ascii="Times New Roman" w:hAnsi="Times New Roman" w:eastAsia="宋体" w:cs="Times New Roman"/>
                <w:b/>
                <w:bCs/>
                <w:lang w:val="en-US" w:eastAsia="zh-CN" w:bidi="ar"/>
              </w:rPr>
              <w:t>3、</w:t>
            </w:r>
            <w:r>
              <w:rPr>
                <w:rFonts w:hint="eastAsia" w:ascii="Times New Roman" w:hAnsi="Times New Roman" w:eastAsia="宋体" w:cs="Times New Roman"/>
                <w:b/>
                <w:bCs/>
                <w:lang w:eastAsia="zh-CN" w:bidi="ar"/>
              </w:rPr>
              <w:t>发展规模</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人口规模：规划城镇人口约14万人。</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用地规模：规划总用地面积约1169.38万平方米，其中建设用地面积约1032.34万平方米。</w:t>
            </w:r>
          </w:p>
          <w:p>
            <w:pPr>
              <w:pStyle w:val="16"/>
              <w:ind w:firstLine="482" w:firstLineChars="200"/>
              <w:rPr>
                <w:rFonts w:hint="eastAsia" w:ascii="Times New Roman" w:hAnsi="Times New Roman" w:eastAsia="宋体" w:cs="Times New Roman"/>
                <w:b/>
                <w:bCs/>
                <w:lang w:eastAsia="zh-CN" w:bidi="ar"/>
              </w:rPr>
            </w:pPr>
            <w:r>
              <w:rPr>
                <w:rFonts w:hint="eastAsia" w:ascii="Times New Roman" w:hAnsi="Times New Roman" w:eastAsia="宋体" w:cs="Times New Roman"/>
                <w:b/>
                <w:bCs/>
                <w:lang w:val="en-US" w:eastAsia="zh-CN" w:bidi="ar"/>
              </w:rPr>
              <w:t>4、</w:t>
            </w:r>
            <w:r>
              <w:rPr>
                <w:rFonts w:hint="eastAsia" w:ascii="Times New Roman" w:hAnsi="Times New Roman" w:eastAsia="宋体" w:cs="Times New Roman"/>
                <w:b/>
                <w:bCs/>
                <w:lang w:eastAsia="zh-CN" w:bidi="ar"/>
              </w:rPr>
              <w:t>用地布局</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规划定位：坚持科产城人融合发展理念，把乔司单元打造成宜居宜商宜业的中央活动区。</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用地布局：落实杭州市国土空间总体规划、临平区国土空间分区规划等相关要求，结合现状情况，尊重在建和已建项目，充分挖掘土地开发潜力。规划聚焦完善人居环境，优化产业空间，提升公共配套能级，形成布局合理、配套齐全、交通便捷、环境宜居的规划单元。</w:t>
            </w:r>
          </w:p>
          <w:p>
            <w:pPr>
              <w:pStyle w:val="16"/>
              <w:ind w:firstLine="482" w:firstLineChars="200"/>
              <w:rPr>
                <w:rFonts w:hint="eastAsia" w:ascii="Times New Roman" w:hAnsi="Times New Roman" w:eastAsia="宋体" w:cs="Times New Roman"/>
                <w:b/>
                <w:bCs/>
                <w:lang w:eastAsia="zh-CN" w:bidi="ar"/>
              </w:rPr>
            </w:pPr>
            <w:r>
              <w:rPr>
                <w:rFonts w:hint="eastAsia" w:ascii="Times New Roman" w:hAnsi="Times New Roman" w:eastAsia="宋体" w:cs="Times New Roman"/>
                <w:b/>
                <w:bCs/>
                <w:lang w:val="en-US" w:eastAsia="zh-CN" w:bidi="ar"/>
              </w:rPr>
              <w:t>5、</w:t>
            </w:r>
            <w:r>
              <w:rPr>
                <w:rFonts w:hint="eastAsia" w:ascii="Times New Roman" w:hAnsi="Times New Roman" w:eastAsia="宋体" w:cs="Times New Roman"/>
                <w:b/>
                <w:bCs/>
                <w:lang w:eastAsia="zh-CN" w:bidi="ar"/>
              </w:rPr>
              <w:t>规划结构</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单元形成“一轴、两带、三心、三片”的规划结构轴：依托迎宾路（地铁9号线）构筑南北城市活力复合发展轴，实现南北互通、产城融合两带：加快乔司港、方桥港-羊头坝港生态修复，形成十字形蓝绿骨架三心：前湾数智综合核心、联胜科创次中心、乔司站生活服务次中心。三片：联胜科创片、翁梅综合片、乔司生活片三个特色片区。</w:t>
            </w:r>
          </w:p>
          <w:p>
            <w:pPr>
              <w:pStyle w:val="16"/>
              <w:ind w:firstLine="482" w:firstLineChars="200"/>
              <w:rPr>
                <w:rFonts w:hint="eastAsia" w:ascii="Times New Roman" w:hAnsi="Times New Roman" w:eastAsia="宋体" w:cs="Times New Roman"/>
                <w:b/>
                <w:bCs/>
                <w:lang w:eastAsia="zh-CN" w:bidi="ar"/>
              </w:rPr>
            </w:pPr>
            <w:r>
              <w:rPr>
                <w:rFonts w:hint="eastAsia" w:ascii="Times New Roman" w:hAnsi="Times New Roman" w:eastAsia="宋体" w:cs="Times New Roman"/>
                <w:b/>
                <w:bCs/>
                <w:lang w:val="en-US" w:eastAsia="zh-CN" w:bidi="ar"/>
              </w:rPr>
              <w:t>6、</w:t>
            </w:r>
            <w:r>
              <w:rPr>
                <w:rFonts w:hint="eastAsia" w:ascii="Times New Roman" w:hAnsi="Times New Roman" w:eastAsia="宋体" w:cs="Times New Roman"/>
                <w:b/>
                <w:bCs/>
                <w:lang w:eastAsia="zh-CN" w:bidi="ar"/>
              </w:rPr>
              <w:t>综合交通</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规划充分研究现状，结合用地布局和功能区的划分，对上位规划路网体系进行必要的调整，形成适合于用地需求的路网系统。乔司单元内车行道路分为高速公路、快速路、主干路、次干路和支路五级。</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（1）高速公路：沪杭高速公路、杭浦高速公路和绕城高速公路（现状）。</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（2）城市快速路：东湖快速路、永玄快速路</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（3）城市一级主干路：迎宾大道、星都大道、农垦路</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（4）城市二三级主干路：临乔路、鑫业路。</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（5）城市次干路：乔中路、南大街、城隍中路、翁梅路、龙湾街、保庆街、乔南街、博卡路等</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（6）城市支路：充分考虑机动车、非机动车和行人的通行，支路连接主次干路，：完善和发挥城市道路的网络效应，与规划河道有机结合，充分接现有道路。</w:t>
            </w:r>
          </w:p>
          <w:p>
            <w:pPr>
              <w:pStyle w:val="16"/>
              <w:ind w:firstLine="482" w:firstLineChars="200"/>
              <w:rPr>
                <w:rFonts w:hint="eastAsia" w:ascii="Times New Roman" w:hAnsi="Times New Roman" w:eastAsia="宋体" w:cs="Times New Roman"/>
                <w:b/>
                <w:bCs/>
                <w:lang w:eastAsia="zh-CN" w:bidi="ar"/>
              </w:rPr>
            </w:pPr>
            <w:r>
              <w:rPr>
                <w:rFonts w:hint="eastAsia" w:ascii="Times New Roman" w:hAnsi="Times New Roman" w:eastAsia="宋体" w:cs="Times New Roman"/>
                <w:b/>
                <w:bCs/>
                <w:lang w:val="en-US" w:eastAsia="zh-CN" w:bidi="ar"/>
              </w:rPr>
              <w:t>7、</w:t>
            </w:r>
            <w:r>
              <w:rPr>
                <w:rFonts w:hint="eastAsia" w:ascii="Times New Roman" w:hAnsi="Times New Roman" w:eastAsia="宋体" w:cs="Times New Roman"/>
                <w:b/>
                <w:bCs/>
                <w:lang w:eastAsia="zh-CN" w:bidi="ar"/>
              </w:rPr>
              <w:t>蓝绿空间</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践行生态文明理念，统筹山水林田湖全要素保护，形成“一带四廊、四心多点”的蓝绿空间体系。</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一带：为运河二通道景观带。</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四廊：分别为杭浦高速、沪杭高速、绕城高速以及东湖快速路绿色廊道。</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四心：片区内四处综合性绿地公园，包括前湾公园、民生休闲公园、引水入城公园以及水美公园。</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多点：单元内较为均衡分布多个社区公园景观节点。</w:t>
            </w:r>
          </w:p>
          <w:p>
            <w:pPr>
              <w:pStyle w:val="16"/>
              <w:ind w:firstLine="482" w:firstLineChars="200"/>
              <w:rPr>
                <w:rFonts w:hint="eastAsia" w:ascii="Times New Roman" w:hAnsi="Times New Roman" w:eastAsia="宋体" w:cs="Times New Roman"/>
                <w:b/>
                <w:bCs/>
                <w:lang w:eastAsia="zh-CN" w:bidi="ar"/>
              </w:rPr>
            </w:pPr>
            <w:r>
              <w:rPr>
                <w:rFonts w:hint="eastAsia" w:ascii="Times New Roman" w:hAnsi="Times New Roman" w:eastAsia="宋体" w:cs="Times New Roman"/>
                <w:b/>
                <w:bCs/>
                <w:lang w:val="en-US" w:eastAsia="zh-CN" w:bidi="ar"/>
              </w:rPr>
              <w:t>8、</w:t>
            </w:r>
            <w:r>
              <w:rPr>
                <w:rFonts w:hint="eastAsia" w:ascii="Times New Roman" w:hAnsi="Times New Roman" w:eastAsia="宋体" w:cs="Times New Roman"/>
                <w:b/>
                <w:bCs/>
                <w:lang w:eastAsia="zh-CN" w:bidi="ar"/>
              </w:rPr>
              <w:t>公共服务设施</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根据《杭州市城市规划公共服务设施基本配套规定（修订）》的规定和要求，街接市级、区级专项规划结合设施匹配行政分级的实施管理思路，适配5-10-15分钟生活圈，完善单元设施的分级与设置。</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城市级公共服务设施：</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（1）教育设施：杭州高级中学（临平分校）、乔司职业高级中学。</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（2）医疗设施：临平区第一人民医院乔司分院。</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（3）体育设施：翁梅全民健身中心。</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（4）防灾设施：乔司消防站。</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生活圈级公共服务设施：</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（1）教育设施：单元共规划4所九年</w:t>
            </w:r>
            <w:r>
              <w:rPr>
                <w:rFonts w:hint="eastAsia" w:ascii="Times New Roman" w:hAnsi="Times New Roman" w:eastAsia="宋体" w:cs="Times New Roman"/>
                <w:lang w:val="en-US" w:eastAsia="zh-CN" w:bidi="ar"/>
              </w:rPr>
              <w:t>一</w:t>
            </w:r>
            <w:r>
              <w:rPr>
                <w:rFonts w:hint="eastAsia" w:ascii="Times New Roman" w:hAnsi="Times New Roman" w:eastAsia="宋体" w:cs="Times New Roman"/>
                <w:lang w:eastAsia="zh-CN" w:bidi="ar"/>
              </w:rPr>
              <w:t>贯制、3所初中、5所小学和18所幼儿园，共计初中153班，小学330班，幼儿园273班。</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（2）文体设施：2处街道级文化活动中心2处杭州书房2处街道级体育活动中心。</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（3）医养设施：2处社区卫生服务中心1处街道级养老院</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（4）商业服务设施：5处农贸市场。</w:t>
            </w:r>
          </w:p>
          <w:p>
            <w:pPr>
              <w:pStyle w:val="16"/>
              <w:ind w:firstLine="480" w:firstLineChars="200"/>
              <w:rPr>
                <w:rFonts w:hint="eastAsia" w:ascii="Times New Roman" w:hAnsi="Times New Roman" w:eastAsia="宋体" w:cs="Times New Roman"/>
                <w:lang w:eastAsia="zh-CN" w:bidi="ar"/>
              </w:rPr>
            </w:pPr>
            <w:r>
              <w:rPr>
                <w:rFonts w:hint="eastAsia" w:ascii="Times New Roman" w:hAnsi="Times New Roman" w:eastAsia="宋体" w:cs="Times New Roman"/>
                <w:lang w:eastAsia="zh-CN" w:bidi="ar"/>
              </w:rPr>
              <w:t>（5）行政管理施：1处道办事处（6）生活圈级里中心：本次规划共划定4个15分钟生活圈，10个5分钟生活圈，并设置若干邻里中心。</w:t>
            </w:r>
          </w:p>
          <w:p>
            <w:pPr>
              <w:pStyle w:val="16"/>
              <w:ind w:firstLine="482" w:firstLineChars="200"/>
              <w:rPr>
                <w:rFonts w:hint="eastAsia" w:ascii="Times New Roman" w:hAnsi="Times New Roman" w:eastAsia="宋体" w:cs="Times New Roman"/>
                <w:b/>
                <w:bCs/>
                <w:lang w:val="en-US" w:eastAsia="zh-CN" w:bidi="ar"/>
              </w:rPr>
            </w:pPr>
            <w:r>
              <w:rPr>
                <w:rFonts w:hint="eastAsia" w:ascii="Times New Roman" w:hAnsi="Times New Roman" w:eastAsia="宋体" w:cs="Times New Roman"/>
                <w:b/>
                <w:bCs/>
                <w:lang w:val="en-US" w:eastAsia="zh-CN" w:bidi="ar"/>
              </w:rPr>
              <w:t>符合性分析：</w:t>
            </w:r>
          </w:p>
          <w:p>
            <w:pPr>
              <w:pStyle w:val="16"/>
              <w:ind w:firstLine="480" w:firstLineChars="200"/>
              <w:rPr>
                <w:rFonts w:hint="default"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本项目位于</w:t>
            </w:r>
            <w:r>
              <w:rPr>
                <w:rFonts w:hint="eastAsia" w:ascii="Times New Roman" w:hAnsi="Times New Roman" w:eastAsia="宋体" w:cs="Times New Roman"/>
              </w:rPr>
              <w:t>浙江省杭州市临平区南苑街道，东至新城路，西、北至联胜路，南至相邻地块</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为</w:t>
            </w:r>
            <w:r>
              <w:rPr>
                <w:rFonts w:hint="eastAsia" w:ascii="Times New Roman" w:hAnsi="Times New Roman" w:eastAsia="宋体" w:cs="Times New Roman"/>
              </w:rPr>
              <w:t>社会事业与服务业/</w:t>
            </w:r>
            <w:r>
              <w:rPr>
                <w:rFonts w:ascii="Times New Roman" w:hAnsi="Times New Roman" w:eastAsia="宋体" w:cs="Times New Roman"/>
              </w:rPr>
              <w:t xml:space="preserve">110 </w:t>
            </w:r>
            <w:r>
              <w:rPr>
                <w:rFonts w:hint="eastAsia" w:ascii="Times New Roman" w:hAnsi="Times New Roman" w:eastAsia="宋体" w:cs="Times New Roman"/>
              </w:rPr>
              <w:t>学校、福利院、养老院（建筑面积5</w:t>
            </w:r>
            <w:r>
              <w:rPr>
                <w:rFonts w:ascii="Times New Roman" w:hAnsi="Times New Roman" w:eastAsia="宋体" w:cs="Times New Roman"/>
              </w:rPr>
              <w:t>000</w:t>
            </w:r>
            <w:r>
              <w:rPr>
                <w:rFonts w:hint="eastAsia" w:ascii="Times New Roman" w:hAnsi="Times New Roman" w:eastAsia="宋体" w:cs="Times New Roman"/>
              </w:rPr>
              <w:t>平方米及以上的）</w:t>
            </w:r>
            <w:r>
              <w:rPr>
                <w:rFonts w:hint="eastAsia" w:ascii="Times New Roman" w:hAnsi="Times New Roman" w:eastAsia="宋体" w:cs="Times New Roman"/>
                <w:lang w:val="en-US" w:eastAsia="zh-CN"/>
              </w:rPr>
              <w:t>项目，本项目地块用地性质符合</w:t>
            </w:r>
            <w:r>
              <w:rPr>
                <w:rFonts w:eastAsia="宋体"/>
              </w:rPr>
              <w:t>《</w:t>
            </w:r>
            <w:r>
              <w:rPr>
                <w:rFonts w:hint="eastAsia" w:eastAsia="宋体"/>
              </w:rPr>
              <w:t>杭州市临平区乔司单元详细规划</w:t>
            </w:r>
            <w:r>
              <w:rPr>
                <w:rStyle w:val="39"/>
                <w:rFonts w:eastAsia="宋体"/>
                <w:sz w:val="24"/>
                <w:szCs w:val="24"/>
              </w:rPr>
              <w:t>》</w:t>
            </w:r>
            <w:r>
              <w:rPr>
                <w:rStyle w:val="39"/>
                <w:rFonts w:hint="eastAsia" w:eastAsia="宋体"/>
                <w:sz w:val="24"/>
                <w:szCs w:val="24"/>
                <w:lang w:eastAsia="zh-CN"/>
              </w:rPr>
              <w:t>（</w:t>
            </w:r>
            <w:r>
              <w:rPr>
                <w:rStyle w:val="39"/>
                <w:rFonts w:hint="eastAsia" w:eastAsia="宋体"/>
                <w:sz w:val="24"/>
                <w:szCs w:val="24"/>
                <w:lang w:val="en-US" w:eastAsia="zh-CN"/>
              </w:rPr>
              <w:t>草案</w:t>
            </w:r>
            <w:r>
              <w:rPr>
                <w:rStyle w:val="39"/>
                <w:rFonts w:hint="eastAsia" w:eastAsia="宋体"/>
                <w:sz w:val="24"/>
                <w:szCs w:val="24"/>
                <w:lang w:eastAsia="zh-CN"/>
              </w:rPr>
              <w:t>）</w:t>
            </w:r>
            <w:r>
              <w:rPr>
                <w:rStyle w:val="39"/>
                <w:rFonts w:hint="eastAsia" w:eastAsia="宋体"/>
                <w:sz w:val="24"/>
                <w:szCs w:val="24"/>
                <w:lang w:val="en-US" w:eastAsia="zh-CN"/>
              </w:rPr>
              <w:t>要求。（用地功能规划图见附图）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Align w:val="center"/>
          </w:tcPr>
          <w:p>
            <w:pPr>
              <w:adjustRightInd w:val="0"/>
              <w:snapToGrid w:val="0"/>
              <w:spacing w:line="240" w:lineRule="auto"/>
              <w:jc w:val="center"/>
              <w:rPr>
                <w:rFonts w:eastAsia="宋体"/>
                <w:kern w:val="0"/>
              </w:rPr>
            </w:pPr>
            <w:r>
              <w:rPr>
                <w:rFonts w:hint="eastAsia" w:eastAsia="宋体"/>
                <w:kern w:val="0"/>
              </w:rPr>
              <w:t>其他符合性分析</w:t>
            </w:r>
          </w:p>
        </w:tc>
        <w:tc>
          <w:tcPr>
            <w:tcW w:w="4147" w:type="pct"/>
            <w:gridSpan w:val="3"/>
            <w:vAlign w:val="center"/>
          </w:tcPr>
          <w:p>
            <w:pPr>
              <w:autoSpaceDE w:val="0"/>
              <w:autoSpaceDN w:val="0"/>
              <w:adjustRightInd w:val="0"/>
              <w:snapToGrid w:val="0"/>
              <w:spacing w:line="420" w:lineRule="exact"/>
              <w:ind w:firstLine="480" w:firstLineChars="200"/>
              <w:rPr>
                <w:rFonts w:eastAsia="宋体"/>
              </w:rPr>
            </w:pPr>
            <w:r>
              <w:rPr>
                <w:rFonts w:eastAsia="宋体"/>
              </w:rPr>
              <w:t>1</w:t>
            </w:r>
            <w:r>
              <w:rPr>
                <w:rFonts w:hAnsi="宋体" w:eastAsia="宋体"/>
              </w:rPr>
              <w:t>、</w:t>
            </w:r>
            <w:r>
              <w:rPr>
                <w:rFonts w:eastAsia="宋体"/>
              </w:rPr>
              <w:t>“</w:t>
            </w:r>
            <w:r>
              <w:rPr>
                <w:rFonts w:hAnsi="宋体" w:eastAsia="宋体"/>
              </w:rPr>
              <w:t>三线一单</w:t>
            </w:r>
            <w:r>
              <w:rPr>
                <w:rFonts w:eastAsia="宋体"/>
              </w:rPr>
              <w:t>”</w:t>
            </w:r>
            <w:r>
              <w:rPr>
                <w:rFonts w:hAnsi="宋体" w:eastAsia="宋体"/>
              </w:rPr>
              <w:t>符合性分析</w:t>
            </w:r>
          </w:p>
          <w:p>
            <w:pPr>
              <w:autoSpaceDE w:val="0"/>
              <w:autoSpaceDN w:val="0"/>
              <w:adjustRightInd w:val="0"/>
              <w:snapToGrid w:val="0"/>
              <w:spacing w:line="420" w:lineRule="exact"/>
              <w:ind w:firstLine="480" w:firstLineChars="200"/>
              <w:rPr>
                <w:rFonts w:eastAsia="宋体"/>
              </w:rPr>
            </w:pPr>
            <w:r>
              <w:rPr>
                <w:rFonts w:hAnsi="宋体" w:eastAsia="宋体"/>
              </w:rPr>
              <w:t>（</w:t>
            </w:r>
            <w:r>
              <w:rPr>
                <w:rFonts w:eastAsia="宋体"/>
              </w:rPr>
              <w:t>1</w:t>
            </w:r>
            <w:r>
              <w:rPr>
                <w:rFonts w:hAnsi="宋体" w:eastAsia="宋体"/>
              </w:rPr>
              <w:t>）与生态保护红线符合性分析</w:t>
            </w:r>
          </w:p>
          <w:p>
            <w:pPr>
              <w:autoSpaceDE w:val="0"/>
              <w:autoSpaceDN w:val="0"/>
              <w:adjustRightInd w:val="0"/>
              <w:snapToGrid w:val="0"/>
              <w:spacing w:line="420" w:lineRule="exact"/>
              <w:ind w:firstLine="480" w:firstLineChars="200"/>
              <w:rPr>
                <w:rFonts w:eastAsia="宋体"/>
              </w:rPr>
            </w:pPr>
            <w:r>
              <w:rPr>
                <w:rFonts w:hAnsi="宋体" w:eastAsia="宋体"/>
              </w:rPr>
              <w:t>项目位于浙江省</w:t>
            </w:r>
            <w:r>
              <w:rPr>
                <w:rFonts w:hAnsi="宋体" w:eastAsia="宋体"/>
                <w:szCs w:val="22"/>
              </w:rPr>
              <w:t>杭州市临平区</w:t>
            </w:r>
            <w:r>
              <w:rPr>
                <w:rFonts w:hint="eastAsia" w:hAnsi="宋体" w:eastAsia="宋体"/>
                <w:szCs w:val="22"/>
              </w:rPr>
              <w:t>南苑街道</w:t>
            </w:r>
            <w:r>
              <w:rPr>
                <w:rFonts w:hAnsi="宋体" w:eastAsia="宋体"/>
              </w:rPr>
              <w:t>，根据建设项目用地预审与选址意见书</w:t>
            </w:r>
            <w:r>
              <w:rPr>
                <w:rFonts w:hint="eastAsia" w:hAnsi="宋体" w:eastAsia="宋体"/>
              </w:rPr>
              <w:t>（</w:t>
            </w:r>
            <w:r>
              <w:rPr>
                <w:rFonts w:hAnsi="宋体" w:eastAsia="宋体"/>
              </w:rPr>
              <w:t>附件</w:t>
            </w:r>
            <w:r>
              <w:rPr>
                <w:rFonts w:hint="eastAsia" w:hAnsi="宋体" w:eastAsia="宋体"/>
              </w:rPr>
              <w:t>3）和《临平区“三区三线”划定方案》</w:t>
            </w:r>
            <w:r>
              <w:rPr>
                <w:rFonts w:hAnsi="宋体" w:eastAsia="宋体"/>
              </w:rPr>
              <w:t>，本工程</w:t>
            </w:r>
            <w:r>
              <w:rPr>
                <w:rFonts w:hint="eastAsia" w:eastAsia="宋体"/>
              </w:rPr>
              <w:t>建设符合国土空间用途管制要求，</w:t>
            </w:r>
            <w:r>
              <w:rPr>
                <w:rFonts w:hAnsi="宋体" w:eastAsia="宋体"/>
              </w:rPr>
              <w:t>不涉及各级自然保护区，不在已批准公布的生态保护红线范围内，满足生态保护红线要求。</w:t>
            </w:r>
          </w:p>
          <w:p>
            <w:pPr>
              <w:autoSpaceDE w:val="0"/>
              <w:autoSpaceDN w:val="0"/>
              <w:adjustRightInd w:val="0"/>
              <w:snapToGrid w:val="0"/>
              <w:spacing w:line="420" w:lineRule="exact"/>
              <w:ind w:firstLine="480" w:firstLineChars="200"/>
              <w:rPr>
                <w:rFonts w:eastAsia="宋体"/>
              </w:rPr>
            </w:pPr>
            <w:r>
              <w:rPr>
                <w:rFonts w:hAnsi="宋体" w:eastAsia="宋体"/>
              </w:rPr>
              <w:t>（</w:t>
            </w:r>
            <w:r>
              <w:rPr>
                <w:rFonts w:eastAsia="宋体"/>
              </w:rPr>
              <w:t>2</w:t>
            </w:r>
            <w:r>
              <w:rPr>
                <w:rFonts w:hAnsi="宋体" w:eastAsia="宋体"/>
              </w:rPr>
              <w:t>）与环境质量底线的相符性分析</w:t>
            </w:r>
          </w:p>
          <w:p>
            <w:pPr>
              <w:widowControl/>
              <w:adjustRightInd w:val="0"/>
              <w:snapToGrid w:val="0"/>
              <w:spacing w:line="420" w:lineRule="exact"/>
              <w:ind w:firstLine="482"/>
              <w:rPr>
                <w:rFonts w:hAnsi="宋体" w:eastAsia="宋体"/>
              </w:rPr>
            </w:pPr>
            <w:r>
              <w:rPr>
                <w:rFonts w:hAnsi="宋体" w:eastAsia="宋体"/>
              </w:rPr>
              <w:t>大气环境质量底线目标：本工程施工期对大气的主要影响因素为施工扬尘，在采取定期对施工场地进行本报告提出的降尘抑尘措施后，本工程对周围环境空气基本无影响。项目废气主要是</w:t>
            </w:r>
            <w:r>
              <w:rPr>
                <w:rFonts w:hint="eastAsia" w:hAnsi="宋体" w:eastAsia="宋体"/>
              </w:rPr>
              <w:t>油烟废气、垃圾房恶臭、汽车尾气和实验室废气</w:t>
            </w:r>
            <w:r>
              <w:rPr>
                <w:rFonts w:hAnsi="宋体" w:eastAsia="宋体"/>
              </w:rPr>
              <w:t>，经收集处理达标后高空排放。采取本环评提出的相关防治措施后，</w:t>
            </w:r>
            <w:r>
              <w:rPr>
                <w:rFonts w:hint="eastAsia" w:hAnsi="宋体" w:eastAsia="宋体"/>
              </w:rPr>
              <w:t>学校</w:t>
            </w:r>
            <w:r>
              <w:rPr>
                <w:rFonts w:hAnsi="宋体" w:eastAsia="宋体"/>
              </w:rPr>
              <w:t>排放的污染物不会对周边环境造成明显影响，不触及环境质量底线。因此，本工程的建设符合大气环境质量底线目标的要求。</w:t>
            </w:r>
          </w:p>
          <w:p>
            <w:pPr>
              <w:autoSpaceDE w:val="0"/>
              <w:autoSpaceDN w:val="0"/>
              <w:adjustRightInd w:val="0"/>
              <w:ind w:firstLine="480" w:firstLineChars="200"/>
              <w:jc w:val="left"/>
              <w:rPr>
                <w:rFonts w:hAnsi="宋体" w:eastAsia="宋体"/>
              </w:rPr>
            </w:pPr>
            <w:r>
              <w:rPr>
                <w:rFonts w:hAnsi="宋体" w:eastAsia="宋体"/>
              </w:rPr>
              <w:t>水环境质量底线目标：根据《浙江省水功能区水环境功能区划分方案》（浙江省环境保护厅浙江省水利厅2016年2月），本工程未涉及该方案中划分的饮用水水源等需要保护的水功能区。本项目主要</w:t>
            </w:r>
            <w:r>
              <w:rPr>
                <w:rFonts w:hint="eastAsia" w:hAnsi="宋体" w:eastAsia="宋体"/>
              </w:rPr>
              <w:t>进行中小学教育</w:t>
            </w:r>
            <w:r>
              <w:rPr>
                <w:rFonts w:hAnsi="宋体" w:eastAsia="宋体"/>
              </w:rPr>
              <w:t>，外排废水仅为生活污水</w:t>
            </w:r>
            <w:r>
              <w:rPr>
                <w:rFonts w:hint="eastAsia" w:hAnsi="宋体" w:eastAsia="宋体"/>
              </w:rPr>
              <w:t>和实验室废水</w:t>
            </w:r>
            <w:r>
              <w:rPr>
                <w:rFonts w:hAnsi="宋体" w:eastAsia="宋体"/>
              </w:rPr>
              <w:t>，</w:t>
            </w:r>
            <w:r>
              <w:rPr>
                <w:rFonts w:hint="eastAsia" w:hAnsi="宋体" w:eastAsia="宋体"/>
              </w:rPr>
              <w:t>生活污水</w:t>
            </w:r>
            <w:r>
              <w:rPr>
                <w:rFonts w:hAnsi="宋体" w:eastAsia="宋体"/>
              </w:rPr>
              <w:t>经</w:t>
            </w:r>
            <w:r>
              <w:rPr>
                <w:rFonts w:hint="eastAsia" w:hAnsi="宋体" w:eastAsia="宋体"/>
              </w:rPr>
              <w:t>隔油池、</w:t>
            </w:r>
            <w:r>
              <w:rPr>
                <w:rFonts w:hAnsi="宋体" w:eastAsia="宋体"/>
              </w:rPr>
              <w:t>化粪池预处理达标后</w:t>
            </w:r>
            <w:r>
              <w:rPr>
                <w:rFonts w:hint="eastAsia" w:hAnsi="宋体" w:eastAsia="宋体"/>
              </w:rPr>
              <w:t>汇同经酸碱中和处理的实验室废水</w:t>
            </w:r>
            <w:r>
              <w:rPr>
                <w:rFonts w:hAnsi="宋体" w:eastAsia="宋体"/>
              </w:rPr>
              <w:t>纳管排放</w:t>
            </w:r>
            <w:r>
              <w:rPr>
                <w:rFonts w:hint="eastAsia" w:hAnsi="宋体" w:eastAsia="宋体"/>
              </w:rPr>
              <w:t>。</w:t>
            </w:r>
            <w:r>
              <w:rPr>
                <w:rFonts w:hAnsi="宋体" w:eastAsia="宋体"/>
              </w:rPr>
              <w:t>不会导致沿线地表水环境质量下降。符合水环境质量底线目标的要求。</w:t>
            </w:r>
          </w:p>
          <w:p>
            <w:pPr>
              <w:autoSpaceDE w:val="0"/>
              <w:autoSpaceDN w:val="0"/>
              <w:adjustRightInd w:val="0"/>
              <w:ind w:firstLine="480" w:firstLineChars="200"/>
              <w:jc w:val="left"/>
              <w:rPr>
                <w:rFonts w:eastAsia="宋体"/>
              </w:rPr>
            </w:pPr>
            <w:r>
              <w:rPr>
                <w:rFonts w:hAnsi="宋体" w:eastAsia="宋体"/>
              </w:rPr>
              <w:t>土壤环境风险防控底线目标：本工程对所在地土壤性质有可能产生影响的施工活动包括施工机械冲洗废水的排放，土方开挖导致水土流失等。根据环境影响评价章节提出的相应环保措施，遏止带有石油类的机械冲洗废水渗透至土壤中，土方开挖应避免雨天施工，且应及时回填覆土，施工完毕后，</w:t>
            </w:r>
            <w:r>
              <w:rPr>
                <w:rFonts w:hint="eastAsia" w:hAnsi="宋体" w:eastAsia="宋体"/>
              </w:rPr>
              <w:t>完善绿化种植</w:t>
            </w:r>
            <w:r>
              <w:rPr>
                <w:rFonts w:hAnsi="宋体" w:eastAsia="宋体"/>
              </w:rPr>
              <w:t>，用以恢复土壤功能，符合土壤环境风险防控底线目标的要求。</w:t>
            </w:r>
          </w:p>
          <w:p>
            <w:pPr>
              <w:autoSpaceDE w:val="0"/>
              <w:autoSpaceDN w:val="0"/>
              <w:spacing w:line="420" w:lineRule="exact"/>
              <w:ind w:firstLine="480" w:firstLineChars="200"/>
              <w:rPr>
                <w:rFonts w:eastAsia="宋体"/>
              </w:rPr>
            </w:pPr>
            <w:r>
              <w:rPr>
                <w:rFonts w:hAnsi="宋体" w:eastAsia="宋体"/>
              </w:rPr>
              <w:t>综上所述，项目采取本环评提出的相关防治措施后，排放的污染物不会对周边环境造成明显影响，不触及环境质量底线。</w:t>
            </w:r>
          </w:p>
          <w:p>
            <w:pPr>
              <w:autoSpaceDE w:val="0"/>
              <w:autoSpaceDN w:val="0"/>
              <w:adjustRightInd w:val="0"/>
              <w:snapToGrid w:val="0"/>
              <w:spacing w:line="440" w:lineRule="exact"/>
              <w:ind w:firstLine="480" w:firstLineChars="200"/>
              <w:jc w:val="left"/>
              <w:rPr>
                <w:rFonts w:eastAsia="宋体"/>
              </w:rPr>
            </w:pPr>
            <w:r>
              <w:rPr>
                <w:rFonts w:hAnsi="宋体" w:eastAsia="宋体"/>
              </w:rPr>
              <w:t>（</w:t>
            </w:r>
            <w:r>
              <w:rPr>
                <w:rFonts w:eastAsia="宋体"/>
              </w:rPr>
              <w:t>3</w:t>
            </w:r>
            <w:r>
              <w:rPr>
                <w:rFonts w:hAnsi="宋体" w:eastAsia="宋体"/>
              </w:rPr>
              <w:t>）与资源利用上线的相符性分析</w:t>
            </w:r>
          </w:p>
          <w:p>
            <w:pPr>
              <w:autoSpaceDE w:val="0"/>
              <w:autoSpaceDN w:val="0"/>
              <w:adjustRightInd w:val="0"/>
              <w:snapToGrid w:val="0"/>
              <w:spacing w:line="440" w:lineRule="exact"/>
              <w:ind w:firstLine="480" w:firstLineChars="200"/>
              <w:jc w:val="left"/>
              <w:rPr>
                <w:rFonts w:eastAsia="宋体"/>
              </w:rPr>
            </w:pPr>
            <w:r>
              <w:rPr>
                <w:rFonts w:hAnsi="宋体" w:eastAsia="宋体"/>
              </w:rPr>
              <w:t>能源利用上线：本工程为</w:t>
            </w:r>
            <w:r>
              <w:rPr>
                <w:rFonts w:hint="eastAsia" w:hAnsi="宋体" w:eastAsia="宋体"/>
              </w:rPr>
              <w:t>学校建设</w:t>
            </w:r>
            <w:r>
              <w:rPr>
                <w:rFonts w:hAnsi="宋体" w:eastAsia="宋体"/>
              </w:rPr>
              <w:t>，不涉及工业生产，不会突破地区能源、消耗上线。</w:t>
            </w:r>
          </w:p>
          <w:p>
            <w:pPr>
              <w:autoSpaceDE w:val="0"/>
              <w:autoSpaceDN w:val="0"/>
              <w:adjustRightInd w:val="0"/>
              <w:snapToGrid w:val="0"/>
              <w:spacing w:line="440" w:lineRule="exact"/>
              <w:ind w:firstLine="480" w:firstLineChars="200"/>
              <w:jc w:val="left"/>
              <w:rPr>
                <w:rFonts w:eastAsia="宋体"/>
              </w:rPr>
            </w:pPr>
            <w:r>
              <w:rPr>
                <w:rFonts w:hAnsi="宋体" w:eastAsia="宋体"/>
              </w:rPr>
              <w:t>水资源利用上限：本工程用水包括施工用水、施工人员生活用水、运行期</w:t>
            </w:r>
            <w:r>
              <w:rPr>
                <w:rFonts w:hint="eastAsia" w:hAnsi="宋体" w:eastAsia="宋体"/>
              </w:rPr>
              <w:t>师生</w:t>
            </w:r>
            <w:r>
              <w:rPr>
                <w:rFonts w:hAnsi="宋体" w:eastAsia="宋体"/>
              </w:rPr>
              <w:t>生活用水。施工用水仅冲洗施工机械及混凝土拌和时用到，施工人员生活用水及</w:t>
            </w:r>
            <w:r>
              <w:rPr>
                <w:rFonts w:hint="eastAsia" w:hAnsi="宋体" w:eastAsia="宋体"/>
              </w:rPr>
              <w:t>营运期师生</w:t>
            </w:r>
            <w:r>
              <w:rPr>
                <w:rFonts w:hAnsi="宋体" w:eastAsia="宋体"/>
              </w:rPr>
              <w:t>生活用水来市政供水管网，项目资源消耗量相对区域资源利用总量较少，不会突破地区水资源消耗上线。</w:t>
            </w:r>
          </w:p>
          <w:p>
            <w:pPr>
              <w:autoSpaceDE w:val="0"/>
              <w:autoSpaceDN w:val="0"/>
              <w:adjustRightInd w:val="0"/>
              <w:snapToGrid w:val="0"/>
              <w:spacing w:line="440" w:lineRule="exact"/>
              <w:ind w:firstLine="480" w:firstLineChars="200"/>
              <w:rPr>
                <w:rFonts w:eastAsia="宋体"/>
              </w:rPr>
            </w:pPr>
            <w:r>
              <w:rPr>
                <w:rFonts w:hAnsi="宋体" w:eastAsia="宋体"/>
              </w:rPr>
              <w:t>土地资源利用上线：本项目总用地面积为</w:t>
            </w:r>
            <w:r>
              <w:rPr>
                <w:rFonts w:hint="eastAsia" w:eastAsia="宋体"/>
              </w:rPr>
              <w:t>45869</w:t>
            </w:r>
            <w:r>
              <w:rPr>
                <w:rFonts w:eastAsia="宋体"/>
              </w:rPr>
              <w:t>m</w:t>
            </w:r>
            <w:r>
              <w:rPr>
                <w:rFonts w:eastAsia="宋体"/>
                <w:vertAlign w:val="superscript"/>
              </w:rPr>
              <w:t>2</w:t>
            </w:r>
            <w:r>
              <w:rPr>
                <w:rFonts w:hAnsi="宋体" w:eastAsia="宋体"/>
              </w:rPr>
              <w:t>，</w:t>
            </w:r>
            <w:r>
              <w:rPr>
                <w:rFonts w:hint="eastAsia" w:hAnsi="宋体" w:eastAsia="宋体"/>
              </w:rPr>
              <w:t>总建筑面积61275.6</w:t>
            </w:r>
            <w:r>
              <w:rPr>
                <w:rFonts w:eastAsia="宋体"/>
              </w:rPr>
              <w:t>m</w:t>
            </w:r>
            <w:r>
              <w:rPr>
                <w:rFonts w:eastAsia="宋体"/>
                <w:vertAlign w:val="superscript"/>
              </w:rPr>
              <w:t>2</w:t>
            </w:r>
            <w:r>
              <w:rPr>
                <w:rFonts w:hAnsi="宋体" w:eastAsia="宋体"/>
              </w:rPr>
              <w:t>，不占</w:t>
            </w:r>
            <w:r>
              <w:rPr>
                <w:rFonts w:hint="eastAsia" w:hAnsi="宋体" w:eastAsia="宋体"/>
              </w:rPr>
              <w:t>用</w:t>
            </w:r>
            <w:r>
              <w:rPr>
                <w:rFonts w:hAnsi="宋体" w:eastAsia="宋体"/>
              </w:rPr>
              <w:t>永久基本农田。临时占地在施工结束后将撤除堆放材料，恢复其原有用途，故本项目不会突破地区土地资源消耗上线。根据杭州市规划和自然资源局出具的建设项目用地预审与选址意见书（用字第</w:t>
            </w:r>
            <w:r>
              <w:rPr>
                <w:rFonts w:hint="eastAsia" w:eastAsia="宋体"/>
              </w:rPr>
              <w:t>330113202200001</w:t>
            </w:r>
            <w:r>
              <w:rPr>
                <w:rFonts w:hAnsi="宋体" w:eastAsia="宋体"/>
              </w:rPr>
              <w:t>号</w:t>
            </w:r>
            <w:r>
              <w:rPr>
                <w:rFonts w:hint="eastAsia" w:eastAsia="宋体"/>
              </w:rPr>
              <w:t>）及项目地块规划技术指标图</w:t>
            </w:r>
            <w:r>
              <w:rPr>
                <w:rFonts w:hAnsi="宋体" w:eastAsia="宋体"/>
              </w:rPr>
              <w:t>，项目为市政基础设施工程，选址区域的规划用地性质为</w:t>
            </w:r>
            <w:r>
              <w:rPr>
                <w:rFonts w:hint="eastAsia" w:hAnsi="宋体" w:eastAsia="宋体"/>
              </w:rPr>
              <w:t>中小学用地（A33）</w:t>
            </w:r>
            <w:r>
              <w:rPr>
                <w:rFonts w:hAnsi="宋体" w:eastAsia="宋体"/>
              </w:rPr>
              <w:t>，与项目申请信息一致，符合规划要求。</w:t>
            </w:r>
          </w:p>
          <w:p>
            <w:pPr>
              <w:pStyle w:val="25"/>
              <w:snapToGrid w:val="0"/>
              <w:spacing w:before="0" w:beforeAutospacing="0" w:after="0" w:afterAutospacing="0" w:line="440" w:lineRule="exact"/>
              <w:ind w:firstLine="480" w:firstLineChars="200"/>
              <w:rPr>
                <w:rFonts w:eastAsia="宋体"/>
                <w:kern w:val="2"/>
                <w:highlight w:val="yellow"/>
              </w:rPr>
            </w:pPr>
            <w:r>
              <w:rPr>
                <w:rFonts w:hAnsi="宋体" w:eastAsia="宋体"/>
                <w:kern w:val="2"/>
              </w:rPr>
              <w:t>（</w:t>
            </w:r>
            <w:r>
              <w:rPr>
                <w:rFonts w:eastAsia="宋体"/>
                <w:kern w:val="2"/>
              </w:rPr>
              <w:t>4</w:t>
            </w:r>
            <w:r>
              <w:rPr>
                <w:rFonts w:hAnsi="宋体" w:eastAsia="宋体"/>
                <w:kern w:val="2"/>
              </w:rPr>
              <w:t>）与生态环境准入清单的符合性分析</w:t>
            </w:r>
          </w:p>
          <w:p>
            <w:pPr>
              <w:autoSpaceDE w:val="0"/>
              <w:autoSpaceDN w:val="0"/>
              <w:adjustRightInd w:val="0"/>
              <w:snapToGrid w:val="0"/>
              <w:spacing w:line="440" w:lineRule="exact"/>
              <w:ind w:firstLine="480" w:firstLineChars="200"/>
              <w:jc w:val="left"/>
              <w:rPr>
                <w:rFonts w:eastAsia="宋体"/>
              </w:rPr>
            </w:pPr>
            <w:r>
              <w:rPr>
                <w:rFonts w:hAnsi="宋体" w:eastAsia="宋体"/>
              </w:rPr>
              <w:t>项目为</w:t>
            </w:r>
            <w:r>
              <w:rPr>
                <w:rFonts w:hint="eastAsia" w:hAnsi="宋体" w:eastAsia="宋体"/>
              </w:rPr>
              <w:t>九年一贯制学校项目</w:t>
            </w:r>
            <w:r>
              <w:rPr>
                <w:rFonts w:hAnsi="宋体" w:eastAsia="宋体"/>
              </w:rPr>
              <w:t>，对照《杭州市</w:t>
            </w:r>
            <w:r>
              <w:rPr>
                <w:rFonts w:eastAsia="宋体"/>
              </w:rPr>
              <w:t>“</w:t>
            </w:r>
            <w:r>
              <w:rPr>
                <w:rFonts w:hAnsi="宋体" w:eastAsia="宋体"/>
              </w:rPr>
              <w:t>三线一单</w:t>
            </w:r>
            <w:r>
              <w:rPr>
                <w:rFonts w:eastAsia="宋体"/>
              </w:rPr>
              <w:t>”</w:t>
            </w:r>
            <w:r>
              <w:rPr>
                <w:rFonts w:hAnsi="宋体" w:eastAsia="宋体"/>
              </w:rPr>
              <w:t>生态环境分区管控方案》（杭环发〔</w:t>
            </w:r>
            <w:r>
              <w:rPr>
                <w:rFonts w:eastAsia="宋体"/>
              </w:rPr>
              <w:t>2020</w:t>
            </w:r>
            <w:r>
              <w:rPr>
                <w:rFonts w:hAnsi="宋体" w:eastAsia="宋体"/>
              </w:rPr>
              <w:t>〕</w:t>
            </w:r>
            <w:r>
              <w:rPr>
                <w:rFonts w:eastAsia="宋体"/>
              </w:rPr>
              <w:t>56</w:t>
            </w:r>
            <w:r>
              <w:rPr>
                <w:rFonts w:hAnsi="宋体" w:eastAsia="宋体"/>
              </w:rPr>
              <w:t>号</w:t>
            </w:r>
            <w:r>
              <w:rPr>
                <w:rFonts w:eastAsia="宋体"/>
              </w:rPr>
              <w:t>），</w:t>
            </w:r>
            <w:r>
              <w:rPr>
                <w:rFonts w:hAnsi="宋体" w:eastAsia="宋体"/>
              </w:rPr>
              <w:t>本项目符合</w:t>
            </w:r>
            <w:r>
              <w:rPr>
                <w:rFonts w:hint="eastAsia" w:hAnsi="宋体" w:eastAsia="宋体"/>
              </w:rPr>
              <w:t>“余杭区临平副城良渚组团城镇生活重点管控单元</w:t>
            </w:r>
            <w:r>
              <w:rPr>
                <w:rFonts w:hAnsi="宋体" w:eastAsia="宋体"/>
              </w:rPr>
              <w:t>（ZH3301102000</w:t>
            </w:r>
            <w:r>
              <w:rPr>
                <w:rFonts w:hint="eastAsia" w:hAnsi="宋体" w:eastAsia="宋体"/>
              </w:rPr>
              <w:t>1</w:t>
            </w:r>
            <w:r>
              <w:rPr>
                <w:rFonts w:hAnsi="宋体" w:eastAsia="宋体"/>
              </w:rPr>
              <w:t>）</w:t>
            </w:r>
            <w:r>
              <w:rPr>
                <w:rFonts w:hint="eastAsia" w:hAnsi="宋体" w:eastAsia="宋体"/>
              </w:rPr>
              <w:t>”</w:t>
            </w:r>
            <w:r>
              <w:rPr>
                <w:rFonts w:eastAsia="宋体"/>
              </w:rPr>
              <w:t>的</w:t>
            </w:r>
            <w:r>
              <w:rPr>
                <w:rFonts w:hAnsi="宋体" w:eastAsia="宋体"/>
              </w:rPr>
              <w:t>管控措施要求，且项目属于《产业结构调整指导目录（</w:t>
            </w:r>
            <w:r>
              <w:rPr>
                <w:rFonts w:eastAsia="宋体"/>
              </w:rPr>
              <w:t>2019</w:t>
            </w:r>
            <w:r>
              <w:rPr>
                <w:rFonts w:hAnsi="宋体" w:eastAsia="宋体"/>
              </w:rPr>
              <w:t>年本）》及其</w:t>
            </w:r>
            <w:r>
              <w:rPr>
                <w:rFonts w:eastAsia="宋体"/>
              </w:rPr>
              <w:t>2021</w:t>
            </w:r>
            <w:r>
              <w:rPr>
                <w:rFonts w:hAnsi="宋体" w:eastAsia="宋体"/>
              </w:rPr>
              <w:t>修改决定中的</w:t>
            </w:r>
            <w:r>
              <w:rPr>
                <w:rFonts w:hint="eastAsia" w:hAnsi="宋体" w:eastAsia="宋体"/>
              </w:rPr>
              <w:t>允许</w:t>
            </w:r>
            <w:r>
              <w:rPr>
                <w:rFonts w:hAnsi="宋体" w:eastAsia="宋体"/>
              </w:rPr>
              <w:t>类项目，不属于负面清单内项目，故项目符合生态环境准入清单要求。</w:t>
            </w:r>
          </w:p>
          <w:p>
            <w:pPr>
              <w:pStyle w:val="25"/>
              <w:snapToGrid w:val="0"/>
              <w:spacing w:before="0" w:beforeAutospacing="0" w:after="0" w:afterAutospacing="0" w:line="440" w:lineRule="exact"/>
              <w:ind w:firstLine="480" w:firstLineChars="200"/>
              <w:jc w:val="both"/>
              <w:rPr>
                <w:rFonts w:eastAsia="宋体"/>
                <w:kern w:val="2"/>
              </w:rPr>
            </w:pPr>
            <w:r>
              <w:rPr>
                <w:rFonts w:hAnsi="宋体" w:eastAsia="宋体"/>
                <w:kern w:val="2"/>
              </w:rPr>
              <w:t>具体对照见表</w:t>
            </w:r>
            <w:r>
              <w:rPr>
                <w:rFonts w:eastAsia="宋体"/>
                <w:kern w:val="2"/>
              </w:rPr>
              <w:t>1-1</w:t>
            </w:r>
            <w:r>
              <w:rPr>
                <w:rFonts w:hAnsi="宋体" w:eastAsia="宋体"/>
                <w:kern w:val="2"/>
              </w:rPr>
              <w:t>。</w:t>
            </w:r>
          </w:p>
          <w:p>
            <w:pPr>
              <w:pStyle w:val="25"/>
              <w:keepNext/>
              <w:keepLines/>
              <w:tabs>
                <w:tab w:val="left" w:pos="700"/>
              </w:tabs>
              <w:autoSpaceDE w:val="0"/>
              <w:autoSpaceDN w:val="0"/>
              <w:adjustRightInd w:val="0"/>
              <w:snapToGrid w:val="0"/>
              <w:spacing w:before="0" w:beforeAutospacing="0" w:after="0" w:afterAutospacing="0" w:line="320" w:lineRule="exact"/>
              <w:jc w:val="center"/>
              <w:outlineLvl w:val="4"/>
              <w:rPr>
                <w:rFonts w:eastAsia="宋体"/>
                <w:kern w:val="2"/>
                <w:szCs w:val="22"/>
              </w:rPr>
            </w:pPr>
            <w:r>
              <w:rPr>
                <w:rFonts w:hAnsi="宋体" w:eastAsia="宋体"/>
                <w:b/>
                <w:bCs/>
                <w:kern w:val="2"/>
                <w:sz w:val="21"/>
                <w:szCs w:val="21"/>
              </w:rPr>
              <w:t>表</w:t>
            </w:r>
            <w:r>
              <w:rPr>
                <w:rFonts w:eastAsia="宋体"/>
                <w:b/>
                <w:bCs/>
                <w:kern w:val="2"/>
                <w:sz w:val="21"/>
                <w:szCs w:val="21"/>
              </w:rPr>
              <w:t xml:space="preserve">1-1  </w:t>
            </w:r>
            <w:r>
              <w:rPr>
                <w:rFonts w:hAnsi="宋体" w:eastAsia="宋体"/>
                <w:b/>
                <w:bCs/>
                <w:kern w:val="2"/>
                <w:sz w:val="21"/>
                <w:szCs w:val="21"/>
              </w:rPr>
              <w:t>杭州市</w:t>
            </w:r>
            <w:r>
              <w:rPr>
                <w:rFonts w:eastAsia="宋体"/>
                <w:b/>
                <w:bCs/>
                <w:kern w:val="2"/>
                <w:sz w:val="21"/>
                <w:szCs w:val="21"/>
              </w:rPr>
              <w:t>“</w:t>
            </w:r>
            <w:r>
              <w:rPr>
                <w:rFonts w:hAnsi="宋体" w:eastAsia="宋体"/>
                <w:b/>
                <w:bCs/>
                <w:kern w:val="2"/>
                <w:sz w:val="21"/>
                <w:szCs w:val="21"/>
              </w:rPr>
              <w:t>三线一单</w:t>
            </w:r>
            <w:r>
              <w:rPr>
                <w:rFonts w:eastAsia="宋体"/>
                <w:b/>
                <w:bCs/>
                <w:kern w:val="2"/>
                <w:sz w:val="21"/>
                <w:szCs w:val="21"/>
              </w:rPr>
              <w:t>”</w:t>
            </w:r>
            <w:r>
              <w:rPr>
                <w:rFonts w:hAnsi="宋体" w:eastAsia="宋体"/>
                <w:b/>
                <w:bCs/>
                <w:kern w:val="2"/>
                <w:sz w:val="21"/>
                <w:szCs w:val="21"/>
              </w:rPr>
              <w:t>生态环境准入清单符合性分析一览表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2567"/>
              <w:gridCol w:w="2961"/>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7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eastAsia="宋体"/>
                      <w:sz w:val="21"/>
                      <w:szCs w:val="21"/>
                    </w:rPr>
                  </w:pPr>
                  <w:r>
                    <w:rPr>
                      <w:rFonts w:hAnsi="宋体" w:eastAsia="宋体"/>
                      <w:sz w:val="21"/>
                      <w:szCs w:val="21"/>
                    </w:rPr>
                    <w:t>名称</w:t>
                  </w:r>
                </w:p>
              </w:tc>
              <w:tc>
                <w:tcPr>
                  <w:tcW w:w="187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eastAsia="宋体"/>
                      <w:sz w:val="21"/>
                      <w:szCs w:val="21"/>
                    </w:rPr>
                  </w:pPr>
                  <w:r>
                    <w:rPr>
                      <w:rFonts w:hAnsi="宋体" w:eastAsia="宋体"/>
                      <w:sz w:val="21"/>
                      <w:szCs w:val="21"/>
                    </w:rPr>
                    <w:t>内容</w:t>
                  </w:r>
                </w:p>
              </w:tc>
              <w:tc>
                <w:tcPr>
                  <w:tcW w:w="216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eastAsia="宋体"/>
                      <w:sz w:val="21"/>
                      <w:szCs w:val="21"/>
                    </w:rPr>
                  </w:pPr>
                  <w:r>
                    <w:rPr>
                      <w:rFonts w:hAnsi="宋体" w:eastAsia="宋体"/>
                      <w:sz w:val="21"/>
                      <w:szCs w:val="21"/>
                    </w:rPr>
                    <w:t>本项目概况</w:t>
                  </w:r>
                </w:p>
              </w:tc>
              <w:tc>
                <w:tcPr>
                  <w:tcW w:w="48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eastAsia="宋体"/>
                      <w:sz w:val="21"/>
                      <w:szCs w:val="21"/>
                    </w:rPr>
                  </w:pPr>
                  <w:r>
                    <w:rPr>
                      <w:rFonts w:hAnsi="宋体" w:eastAsia="宋体"/>
                      <w:sz w:val="21"/>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eastAsia="宋体"/>
                      <w:sz w:val="21"/>
                      <w:szCs w:val="21"/>
                      <w:highlight w:val="yellow"/>
                    </w:rPr>
                  </w:pPr>
                  <w:r>
                    <w:rPr>
                      <w:rFonts w:hAnsi="宋体" w:eastAsia="宋体"/>
                      <w:sz w:val="21"/>
                      <w:szCs w:val="21"/>
                    </w:rPr>
                    <w:t>空间布局约束</w:t>
                  </w:r>
                </w:p>
              </w:tc>
              <w:tc>
                <w:tcPr>
                  <w:tcW w:w="1876" w:type="pct"/>
                  <w:tcBorders>
                    <w:top w:val="single" w:color="auto" w:sz="4" w:space="0"/>
                    <w:left w:val="single" w:color="auto" w:sz="4" w:space="0"/>
                    <w:right w:val="single" w:color="auto" w:sz="4" w:space="0"/>
                  </w:tcBorders>
                  <w:vAlign w:val="center"/>
                </w:tcPr>
                <w:p>
                  <w:pPr>
                    <w:adjustRightInd w:val="0"/>
                    <w:snapToGrid w:val="0"/>
                    <w:spacing w:line="240" w:lineRule="auto"/>
                    <w:rPr>
                      <w:rFonts w:eastAsia="宋体"/>
                      <w:sz w:val="21"/>
                      <w:szCs w:val="21"/>
                      <w:highlight w:val="yellow"/>
                    </w:rPr>
                  </w:pPr>
                  <w:r>
                    <w:rPr>
                      <w:rFonts w:hint="eastAsia" w:hAnsi="宋体" w:eastAsia="宋体"/>
                      <w:sz w:val="21"/>
                      <w:szCs w:val="21"/>
                      <w:shd w:val="clear" w:color="auto" w:fill="FFFFFF"/>
                    </w:rPr>
                    <w:t>除工业功能区（小微园区、工业集聚点）外，原则上禁止新建其他二类工业项目，现有二类工业项目改建、扩建，不得增加污染物排放总量。严格执行畜禽养殖禁养区规定。</w:t>
                  </w:r>
                </w:p>
              </w:tc>
              <w:tc>
                <w:tcPr>
                  <w:tcW w:w="2164" w:type="pct"/>
                  <w:tcBorders>
                    <w:top w:val="single" w:color="auto" w:sz="4" w:space="0"/>
                    <w:left w:val="single" w:color="auto" w:sz="4" w:space="0"/>
                    <w:right w:val="single" w:color="auto" w:sz="4" w:space="0"/>
                  </w:tcBorders>
                  <w:vAlign w:val="center"/>
                </w:tcPr>
                <w:p>
                  <w:pPr>
                    <w:autoSpaceDE w:val="0"/>
                    <w:autoSpaceDN w:val="0"/>
                    <w:adjustRightInd w:val="0"/>
                    <w:spacing w:line="240" w:lineRule="auto"/>
                    <w:rPr>
                      <w:rFonts w:eastAsia="宋体"/>
                      <w:sz w:val="21"/>
                      <w:szCs w:val="21"/>
                      <w:shd w:val="clear" w:color="auto" w:fill="FFFFFF"/>
                    </w:rPr>
                  </w:pPr>
                  <w:r>
                    <w:rPr>
                      <w:rFonts w:hAnsi="宋体" w:eastAsia="宋体"/>
                      <w:sz w:val="21"/>
                      <w:szCs w:val="21"/>
                      <w:shd w:val="clear" w:color="auto" w:fill="FFFFFF"/>
                    </w:rPr>
                    <w:t>本工程属于</w:t>
                  </w:r>
                  <w:r>
                    <w:rPr>
                      <w:rFonts w:hint="eastAsia" w:hAnsi="宋体" w:eastAsia="宋体"/>
                      <w:sz w:val="21"/>
                      <w:szCs w:val="21"/>
                      <w:shd w:val="clear" w:color="auto" w:fill="FFFFFF"/>
                    </w:rPr>
                    <w:t>学校建设</w:t>
                  </w:r>
                  <w:r>
                    <w:rPr>
                      <w:rFonts w:hAnsi="宋体" w:eastAsia="宋体"/>
                      <w:sz w:val="21"/>
                      <w:szCs w:val="21"/>
                      <w:shd w:val="clear" w:color="auto" w:fill="FFFFFF"/>
                    </w:rPr>
                    <w:t>项目，不属此空间布局约束中的工业项目</w:t>
                  </w:r>
                  <w:r>
                    <w:rPr>
                      <w:rFonts w:hint="eastAsia" w:hAnsi="宋体" w:eastAsia="宋体"/>
                      <w:sz w:val="21"/>
                      <w:szCs w:val="21"/>
                      <w:shd w:val="clear" w:color="auto" w:fill="FFFFFF"/>
                    </w:rPr>
                    <w:t>，位于居住区，周边不涉及工业企业</w:t>
                  </w:r>
                  <w:r>
                    <w:rPr>
                      <w:rFonts w:hAnsi="宋体" w:eastAsia="宋体"/>
                      <w:sz w:val="21"/>
                      <w:szCs w:val="21"/>
                      <w:shd w:val="clear" w:color="auto" w:fill="FFFFFF"/>
                    </w:rPr>
                    <w:t>。</w:t>
                  </w:r>
                </w:p>
              </w:tc>
              <w:tc>
                <w:tcPr>
                  <w:tcW w:w="48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eastAsia="宋体"/>
                      <w:sz w:val="21"/>
                      <w:szCs w:val="21"/>
                    </w:rPr>
                  </w:pPr>
                  <w:r>
                    <w:rPr>
                      <w:rFonts w:hAnsi="宋体"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eastAsia="宋体"/>
                      <w:sz w:val="21"/>
                      <w:szCs w:val="21"/>
                      <w:highlight w:val="yellow"/>
                    </w:rPr>
                  </w:pPr>
                  <w:r>
                    <w:rPr>
                      <w:rFonts w:hAnsi="宋体" w:eastAsia="宋体"/>
                      <w:sz w:val="21"/>
                      <w:szCs w:val="21"/>
                    </w:rPr>
                    <w:t>污染物排放管控</w:t>
                  </w:r>
                </w:p>
              </w:tc>
              <w:tc>
                <w:tcPr>
                  <w:tcW w:w="1876" w:type="pct"/>
                  <w:tcBorders>
                    <w:top w:val="single" w:color="auto" w:sz="4" w:space="0"/>
                    <w:left w:val="single" w:color="auto" w:sz="4" w:space="0"/>
                    <w:right w:val="single" w:color="auto" w:sz="4" w:space="0"/>
                  </w:tcBorders>
                  <w:vAlign w:val="center"/>
                </w:tcPr>
                <w:p>
                  <w:pPr>
                    <w:adjustRightInd w:val="0"/>
                    <w:snapToGrid w:val="0"/>
                    <w:spacing w:line="240" w:lineRule="auto"/>
                    <w:rPr>
                      <w:rFonts w:eastAsia="宋体"/>
                      <w:sz w:val="21"/>
                      <w:szCs w:val="21"/>
                      <w:highlight w:val="yellow"/>
                    </w:rPr>
                  </w:pPr>
                  <w:r>
                    <w:rPr>
                      <w:rFonts w:hint="eastAsia" w:hAnsi="宋体" w:eastAsia="宋体"/>
                      <w:sz w:val="21"/>
                      <w:szCs w:val="21"/>
                      <w:shd w:val="clear" w:color="auto" w:fill="FFFFFF"/>
                    </w:rPr>
                    <w:t>推进生活小区“零直排区”建设。加强噪声和臭气异味防治，强化餐饮油烟治理，严格施工扬尘监管。</w:t>
                  </w:r>
                </w:p>
              </w:tc>
              <w:tc>
                <w:tcPr>
                  <w:tcW w:w="2164" w:type="pct"/>
                  <w:tcBorders>
                    <w:top w:val="single" w:color="auto" w:sz="4" w:space="0"/>
                    <w:left w:val="single" w:color="auto" w:sz="4" w:space="0"/>
                    <w:right w:val="single" w:color="auto" w:sz="4" w:space="0"/>
                  </w:tcBorders>
                  <w:vAlign w:val="center"/>
                </w:tcPr>
                <w:p>
                  <w:pPr>
                    <w:autoSpaceDE w:val="0"/>
                    <w:autoSpaceDN w:val="0"/>
                    <w:adjustRightInd w:val="0"/>
                    <w:spacing w:line="240" w:lineRule="auto"/>
                    <w:rPr>
                      <w:rFonts w:eastAsia="宋体"/>
                      <w:sz w:val="21"/>
                      <w:szCs w:val="21"/>
                      <w:shd w:val="clear" w:color="auto" w:fill="FFFFFF"/>
                    </w:rPr>
                  </w:pPr>
                  <w:r>
                    <w:rPr>
                      <w:rFonts w:hAnsi="宋体" w:eastAsia="宋体"/>
                      <w:sz w:val="21"/>
                      <w:szCs w:val="21"/>
                      <w:shd w:val="clear" w:color="auto" w:fill="FFFFFF"/>
                    </w:rPr>
                    <w:t>本工程</w:t>
                  </w:r>
                  <w:r>
                    <w:rPr>
                      <w:rFonts w:hint="eastAsia" w:hAnsi="宋体" w:eastAsia="宋体"/>
                      <w:sz w:val="21"/>
                      <w:szCs w:val="21"/>
                      <w:shd w:val="clear" w:color="auto" w:fill="FFFFFF"/>
                    </w:rPr>
                    <w:t>为学校建设项目，本报告要求项目加强施工期扬尘治理及监管，项目在落实本环评提出的各项环保措施后，噪声及油烟机垃圾臭气可以达标排放，对周围环境不会噪声不利影响。</w:t>
                  </w:r>
                </w:p>
              </w:tc>
              <w:tc>
                <w:tcPr>
                  <w:tcW w:w="48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eastAsia="宋体"/>
                      <w:sz w:val="21"/>
                      <w:szCs w:val="21"/>
                      <w:highlight w:val="yellow"/>
                    </w:rPr>
                  </w:pPr>
                  <w:r>
                    <w:rPr>
                      <w:rFonts w:hAnsi="宋体"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rPr>
                      <w:rFonts w:eastAsia="宋体"/>
                      <w:sz w:val="21"/>
                      <w:szCs w:val="21"/>
                      <w:highlight w:val="yellow"/>
                    </w:rPr>
                  </w:pPr>
                  <w:r>
                    <w:rPr>
                      <w:rFonts w:hAnsi="宋体" w:eastAsia="宋体"/>
                      <w:sz w:val="21"/>
                      <w:szCs w:val="21"/>
                    </w:rPr>
                    <w:t>环境风险防控</w:t>
                  </w:r>
                </w:p>
              </w:tc>
              <w:tc>
                <w:tcPr>
                  <w:tcW w:w="1876" w:type="pct"/>
                  <w:tcBorders>
                    <w:top w:val="single" w:color="auto" w:sz="4" w:space="0"/>
                    <w:left w:val="single" w:color="auto" w:sz="4" w:space="0"/>
                    <w:right w:val="single" w:color="auto" w:sz="4" w:space="0"/>
                  </w:tcBorders>
                  <w:vAlign w:val="center"/>
                </w:tcPr>
                <w:p>
                  <w:pPr>
                    <w:widowControl/>
                    <w:spacing w:line="240" w:lineRule="auto"/>
                    <w:rPr>
                      <w:rFonts w:eastAsia="宋体"/>
                      <w:kern w:val="0"/>
                      <w:sz w:val="21"/>
                      <w:szCs w:val="21"/>
                    </w:rPr>
                  </w:pPr>
                  <w:r>
                    <w:rPr>
                      <w:rFonts w:hint="eastAsia" w:hAnsi="宋体" w:eastAsia="宋体"/>
                      <w:sz w:val="21"/>
                      <w:szCs w:val="21"/>
                      <w:shd w:val="clear" w:color="auto" w:fill="FFFFFF"/>
                    </w:rPr>
                    <w:t>加强环境风险防控，严格控制噪声、恶臭、油烟等污染物排放。</w:t>
                  </w:r>
                </w:p>
              </w:tc>
              <w:tc>
                <w:tcPr>
                  <w:tcW w:w="2164" w:type="pct"/>
                  <w:tcBorders>
                    <w:top w:val="single" w:color="auto" w:sz="4" w:space="0"/>
                    <w:left w:val="single" w:color="auto" w:sz="4" w:space="0"/>
                    <w:right w:val="single" w:color="auto" w:sz="4" w:space="0"/>
                  </w:tcBorders>
                  <w:vAlign w:val="center"/>
                </w:tcPr>
                <w:p>
                  <w:pPr>
                    <w:autoSpaceDE w:val="0"/>
                    <w:autoSpaceDN w:val="0"/>
                    <w:adjustRightInd w:val="0"/>
                    <w:spacing w:line="240" w:lineRule="auto"/>
                    <w:rPr>
                      <w:rFonts w:eastAsia="宋体"/>
                      <w:sz w:val="21"/>
                      <w:szCs w:val="21"/>
                      <w:shd w:val="clear" w:color="auto" w:fill="FFFFFF"/>
                    </w:rPr>
                  </w:pPr>
                  <w:r>
                    <w:rPr>
                      <w:rFonts w:hint="eastAsia" w:hAnsi="宋体" w:eastAsia="宋体"/>
                      <w:sz w:val="21"/>
                      <w:szCs w:val="21"/>
                      <w:shd w:val="clear" w:color="auto" w:fill="FFFFFF"/>
                    </w:rPr>
                    <w:t>项目在落实本环评提出的各项环保措施后，噪声及油烟机垃圾臭气可以达标排放，对周围环境不会噪声不利影响。</w:t>
                  </w:r>
                </w:p>
              </w:tc>
              <w:tc>
                <w:tcPr>
                  <w:tcW w:w="48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eastAsia="宋体"/>
                      <w:sz w:val="21"/>
                      <w:szCs w:val="21"/>
                      <w:highlight w:val="yellow"/>
                    </w:rPr>
                  </w:pPr>
                  <w:r>
                    <w:rPr>
                      <w:rFonts w:hAnsi="宋体"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rPr>
                      <w:rFonts w:eastAsia="宋体"/>
                      <w:sz w:val="21"/>
                      <w:szCs w:val="21"/>
                    </w:rPr>
                  </w:pPr>
                  <w:r>
                    <w:rPr>
                      <w:rFonts w:hAnsi="宋体" w:eastAsia="宋体"/>
                      <w:sz w:val="21"/>
                      <w:szCs w:val="21"/>
                    </w:rPr>
                    <w:t>资源开发效率要求</w:t>
                  </w:r>
                </w:p>
              </w:tc>
              <w:tc>
                <w:tcPr>
                  <w:tcW w:w="1876" w:type="pct"/>
                  <w:tcBorders>
                    <w:top w:val="single" w:color="auto" w:sz="4" w:space="0"/>
                    <w:left w:val="single" w:color="auto" w:sz="4" w:space="0"/>
                    <w:right w:val="single" w:color="auto" w:sz="4" w:space="0"/>
                  </w:tcBorders>
                  <w:vAlign w:val="center"/>
                </w:tcPr>
                <w:p>
                  <w:pPr>
                    <w:adjustRightInd w:val="0"/>
                    <w:snapToGrid w:val="0"/>
                    <w:spacing w:line="240" w:lineRule="auto"/>
                    <w:jc w:val="left"/>
                    <w:rPr>
                      <w:rFonts w:eastAsia="宋体"/>
                      <w:sz w:val="21"/>
                      <w:szCs w:val="21"/>
                    </w:rPr>
                  </w:pPr>
                  <w:r>
                    <w:rPr>
                      <w:rFonts w:hint="eastAsia" w:hAnsi="宋体" w:eastAsia="宋体"/>
                      <w:sz w:val="21"/>
                      <w:szCs w:val="21"/>
                      <w:shd w:val="clear" w:color="auto" w:fill="FFFFFF"/>
                    </w:rPr>
                    <w:t>全面开展节水型社会建设，推进节水产品推广普及，限制高耗水服务业用水。</w:t>
                  </w:r>
                </w:p>
              </w:tc>
              <w:tc>
                <w:tcPr>
                  <w:tcW w:w="2164" w:type="pct"/>
                  <w:tcBorders>
                    <w:top w:val="single" w:color="auto" w:sz="4" w:space="0"/>
                    <w:left w:val="single" w:color="auto" w:sz="4" w:space="0"/>
                    <w:right w:val="single" w:color="auto" w:sz="4" w:space="0"/>
                  </w:tcBorders>
                  <w:vAlign w:val="center"/>
                </w:tcPr>
                <w:p>
                  <w:pPr>
                    <w:autoSpaceDE w:val="0"/>
                    <w:autoSpaceDN w:val="0"/>
                    <w:adjustRightInd w:val="0"/>
                    <w:spacing w:line="240" w:lineRule="auto"/>
                    <w:jc w:val="left"/>
                    <w:rPr>
                      <w:rFonts w:eastAsia="宋体"/>
                      <w:sz w:val="21"/>
                      <w:szCs w:val="21"/>
                      <w:shd w:val="clear" w:color="auto" w:fill="FFFFFF"/>
                    </w:rPr>
                  </w:pPr>
                  <w:r>
                    <w:rPr>
                      <w:rFonts w:hint="eastAsia" w:hAnsi="宋体" w:eastAsia="宋体"/>
                      <w:sz w:val="21"/>
                      <w:szCs w:val="21"/>
                      <w:shd w:val="clear" w:color="auto" w:fill="FFFFFF"/>
                    </w:rPr>
                    <w:t>本项目为学校建设项目，不属于高耗水服务业，本报告建议学校推广倡导节约用水。</w:t>
                  </w:r>
                </w:p>
              </w:tc>
              <w:tc>
                <w:tcPr>
                  <w:tcW w:w="484" w:type="pct"/>
                  <w:tcBorders>
                    <w:top w:val="single" w:color="auto" w:sz="4" w:space="0"/>
                    <w:left w:val="single" w:color="auto" w:sz="4" w:space="0"/>
                    <w:bottom w:val="single" w:color="auto" w:sz="4" w:space="0"/>
                    <w:right w:val="single" w:color="auto" w:sz="4" w:space="0"/>
                  </w:tcBorders>
                  <w:vAlign w:val="center"/>
                </w:tcPr>
                <w:p>
                  <w:pPr>
                    <w:pStyle w:val="13"/>
                    <w:adjustRightInd w:val="0"/>
                    <w:spacing w:after="0" w:line="240" w:lineRule="auto"/>
                    <w:jc w:val="center"/>
                    <w:rPr>
                      <w:rFonts w:eastAsia="宋体"/>
                      <w:sz w:val="21"/>
                      <w:szCs w:val="21"/>
                    </w:rPr>
                  </w:pPr>
                  <w:r>
                    <w:rPr>
                      <w:rFonts w:hAnsi="宋体" w:eastAsia="宋体"/>
                      <w:sz w:val="21"/>
                      <w:szCs w:val="21"/>
                      <w:shd w:val="clear" w:color="auto" w:fill="FFFFFF"/>
                    </w:rPr>
                    <w:t>符合</w:t>
                  </w:r>
                </w:p>
              </w:tc>
            </w:tr>
          </w:tbl>
          <w:p>
            <w:pPr>
              <w:pStyle w:val="12"/>
              <w:ind w:firstLine="480" w:firstLineChars="200"/>
            </w:pPr>
            <w:r>
              <w:rPr>
                <w:rFonts w:hAnsi="宋体" w:eastAsia="宋体"/>
              </w:rPr>
              <w:t>综上所述，本项目</w:t>
            </w:r>
            <w:r>
              <w:rPr>
                <w:rFonts w:hint="eastAsia" w:hAnsi="宋体" w:eastAsia="宋体"/>
              </w:rPr>
              <w:t>不属于工业项目，符合空间布局引导要求，</w:t>
            </w:r>
            <w:r>
              <w:rPr>
                <w:rFonts w:hAnsi="宋体" w:eastAsia="宋体"/>
              </w:rPr>
              <w:t>不涉及生态保护红线，不触及环境质量底线和资源利用上线，符合该管控单元生态环境准入清单中要求，</w:t>
            </w:r>
            <w:r>
              <w:rPr>
                <w:rFonts w:hint="eastAsia" w:hAnsi="宋体" w:eastAsia="宋体"/>
              </w:rPr>
              <w:t>本报告要求项目加强施工期扬尘治理及监管，项目在落实本环评提出的各项环保措施后，噪声及油烟机垃圾臭气可以达标排放，对周围环境不会噪声不利影响。</w:t>
            </w:r>
            <w:r>
              <w:rPr>
                <w:rFonts w:hAnsi="宋体" w:eastAsia="宋体"/>
              </w:rPr>
              <w:t>因此本项目符合</w:t>
            </w:r>
            <w:r>
              <w:rPr>
                <w:rFonts w:eastAsia="宋体"/>
              </w:rPr>
              <w:t>“</w:t>
            </w:r>
            <w:r>
              <w:rPr>
                <w:rFonts w:hAnsi="宋体" w:eastAsia="宋体"/>
              </w:rPr>
              <w:t>三线一单</w:t>
            </w:r>
            <w:r>
              <w:rPr>
                <w:rFonts w:eastAsia="宋体"/>
              </w:rPr>
              <w:t>”</w:t>
            </w:r>
            <w:r>
              <w:rPr>
                <w:rFonts w:hAnsi="宋体" w:eastAsia="宋体"/>
              </w:rPr>
              <w:t>要求。</w:t>
            </w:r>
          </w:p>
          <w:p>
            <w:pPr>
              <w:widowControl/>
              <w:adjustRightInd w:val="0"/>
              <w:snapToGrid w:val="0"/>
              <w:spacing w:line="420" w:lineRule="exact"/>
              <w:ind w:firstLine="480" w:firstLineChars="200"/>
              <w:rPr>
                <w:rFonts w:hAnsi="宋体" w:eastAsia="宋体"/>
              </w:rPr>
            </w:pPr>
            <w:r>
              <w:rPr>
                <w:rFonts w:hint="eastAsia" w:hAnsi="宋体" w:eastAsia="宋体"/>
              </w:rPr>
              <w:t>根据《自然资源部办公厅关于浙江等省（市）启用“三区三线”划定成果作为报批建设项目用地用海依据的函》（自然资办函［2022］2080号）及《自然资源部办公厅关于依据＂三区三线”划定成果报批建设项目用地用海有关事宜的函》（自然资办函［2022］2072号），三区三线中“三区”是指城镇空间、农业空间、生态空间三种类型的国土空间。“三线”分别对应在城镇空间、农业空间、生态空间划定的城镇开发边界、永久基本农田、生态保护红线三条控制线。</w:t>
            </w:r>
          </w:p>
          <w:p>
            <w:pPr>
              <w:widowControl/>
              <w:adjustRightInd w:val="0"/>
              <w:snapToGrid w:val="0"/>
              <w:spacing w:line="420" w:lineRule="exact"/>
              <w:ind w:firstLine="480" w:firstLineChars="200"/>
              <w:rPr>
                <w:rFonts w:hAnsi="宋体" w:eastAsia="宋体"/>
              </w:rPr>
            </w:pPr>
            <w:r>
              <w:rPr>
                <w:rFonts w:hint="eastAsia" w:hAnsi="宋体" w:eastAsia="宋体"/>
              </w:rPr>
              <w:t>根据《临平区三区三线划定方案》，本项目位于城镇开发空间内，不占用生态空间及农业空间，符合“三区三线”的相关要求，详见附图8。</w:t>
            </w:r>
          </w:p>
          <w:p>
            <w:pPr>
              <w:pStyle w:val="12"/>
              <w:ind w:firstLine="482" w:firstLineChars="200"/>
              <w:rPr>
                <w:rFonts w:eastAsia="宋体"/>
                <w:b/>
                <w:bCs/>
              </w:rPr>
            </w:pPr>
            <w:r>
              <w:rPr>
                <w:rFonts w:eastAsia="宋体"/>
                <w:b/>
                <w:bCs/>
              </w:rPr>
              <w:t>2</w:t>
            </w:r>
            <w:r>
              <w:rPr>
                <w:rFonts w:hint="eastAsia" w:eastAsia="宋体"/>
                <w:b/>
                <w:bCs/>
              </w:rPr>
              <w:t>、《产业结构调整指导目录》（201</w:t>
            </w:r>
            <w:r>
              <w:rPr>
                <w:rFonts w:eastAsia="宋体"/>
                <w:b/>
                <w:bCs/>
              </w:rPr>
              <w:t>9</w:t>
            </w:r>
            <w:r>
              <w:rPr>
                <w:rFonts w:hint="eastAsia" w:eastAsia="宋体"/>
                <w:b/>
                <w:bCs/>
              </w:rPr>
              <w:t>年，2021年修正）符合性分析</w:t>
            </w:r>
          </w:p>
          <w:p>
            <w:pPr>
              <w:pStyle w:val="40"/>
              <w:rPr>
                <w:rFonts w:eastAsia="宋体"/>
              </w:rPr>
            </w:pPr>
            <w:r>
              <w:rPr>
                <w:rFonts w:hint="eastAsia" w:eastAsia="宋体"/>
              </w:rPr>
              <w:t>对照《产业结构调整指导目录（2</w:t>
            </w:r>
            <w:r>
              <w:rPr>
                <w:rFonts w:eastAsia="宋体"/>
              </w:rPr>
              <w:t>019</w:t>
            </w:r>
            <w:r>
              <w:rPr>
                <w:rFonts w:hint="eastAsia" w:eastAsia="宋体"/>
              </w:rPr>
              <w:t>年本）》（202</w:t>
            </w:r>
            <w:r>
              <w:rPr>
                <w:rFonts w:eastAsia="宋体"/>
              </w:rPr>
              <w:t>1</w:t>
            </w:r>
            <w:r>
              <w:rPr>
                <w:rFonts w:hint="eastAsia" w:eastAsia="宋体"/>
              </w:rPr>
              <w:t>年修正），本项目</w:t>
            </w:r>
            <w:r>
              <w:rPr>
                <w:rFonts w:eastAsia="宋体"/>
              </w:rPr>
              <w:t>不属于《产业结构调整指导目录</w:t>
            </w:r>
            <w:r>
              <w:rPr>
                <w:rFonts w:hint="eastAsia" w:eastAsia="宋体"/>
              </w:rPr>
              <w:t>（2</w:t>
            </w:r>
            <w:r>
              <w:rPr>
                <w:rFonts w:eastAsia="宋体"/>
              </w:rPr>
              <w:t>019</w:t>
            </w:r>
            <w:r>
              <w:rPr>
                <w:rFonts w:hint="eastAsia" w:eastAsia="宋体"/>
              </w:rPr>
              <w:t>年本）</w:t>
            </w:r>
            <w:r>
              <w:rPr>
                <w:rFonts w:eastAsia="宋体"/>
              </w:rPr>
              <w:t>》</w:t>
            </w:r>
            <w:r>
              <w:rPr>
                <w:rFonts w:hint="eastAsia" w:eastAsia="宋体"/>
              </w:rPr>
              <w:t>（</w:t>
            </w:r>
            <w:r>
              <w:rPr>
                <w:rFonts w:eastAsia="宋体"/>
              </w:rPr>
              <w:t>2021</w:t>
            </w:r>
            <w:r>
              <w:rPr>
                <w:rFonts w:hint="eastAsia" w:eastAsia="宋体"/>
              </w:rPr>
              <w:t>年修正）</w:t>
            </w:r>
            <w:r>
              <w:rPr>
                <w:rFonts w:eastAsia="宋体"/>
              </w:rPr>
              <w:t>中的鼓励类、限制类和淘汰类项目，属于允许类项目</w:t>
            </w:r>
            <w:r>
              <w:rPr>
                <w:rFonts w:hint="eastAsia" w:eastAsia="宋体"/>
              </w:rPr>
              <w:t>，符合产业要求。</w:t>
            </w:r>
          </w:p>
          <w:p>
            <w:pPr>
              <w:pStyle w:val="25"/>
              <w:spacing w:before="0" w:beforeAutospacing="0" w:after="0" w:afterAutospacing="0"/>
              <w:ind w:firstLine="482" w:firstLineChars="200"/>
              <w:jc w:val="both"/>
              <w:rPr>
                <w:rFonts w:eastAsia="宋体"/>
                <w:b/>
              </w:rPr>
            </w:pPr>
            <w:r>
              <w:rPr>
                <w:rFonts w:hint="eastAsia" w:eastAsia="宋体"/>
                <w:b/>
              </w:rPr>
              <w:t>3、《太湖流域管理条例》符合性分析</w:t>
            </w:r>
          </w:p>
          <w:p>
            <w:pPr>
              <w:pStyle w:val="25"/>
              <w:spacing w:before="0" w:beforeAutospacing="0" w:after="0" w:afterAutospacing="0"/>
              <w:ind w:firstLine="480" w:firstLineChars="200"/>
              <w:jc w:val="both"/>
              <w:rPr>
                <w:rFonts w:eastAsia="宋体"/>
              </w:rPr>
            </w:pPr>
            <w:r>
              <w:rPr>
                <w:rFonts w:hint="eastAsia" w:eastAsia="宋体"/>
              </w:rPr>
              <w:t>《太湖流域管理条例》于2011年8月24日经国务院第169次常务会议通过，自2011年11月1日起施行，建设项目与其中有关条款的符合性分析见下表。</w:t>
            </w:r>
          </w:p>
          <w:p>
            <w:pPr>
              <w:pStyle w:val="25"/>
              <w:spacing w:before="0" w:beforeAutospacing="0" w:after="0" w:afterAutospacing="0"/>
              <w:jc w:val="center"/>
              <w:rPr>
                <w:rFonts w:eastAsia="宋体"/>
                <w:b/>
                <w:bCs/>
                <w:sz w:val="21"/>
                <w:szCs w:val="21"/>
              </w:rPr>
            </w:pPr>
            <w:r>
              <w:rPr>
                <w:rFonts w:hint="eastAsia" w:eastAsia="宋体"/>
                <w:b/>
                <w:bCs/>
                <w:sz w:val="21"/>
                <w:szCs w:val="21"/>
              </w:rPr>
              <w:t>表1-2 《太湖流域管理条例》符合性分析表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11"/>
              <w:gridCol w:w="1559"/>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pStyle w:val="16"/>
                    <w:spacing w:line="240" w:lineRule="auto"/>
                    <w:rPr>
                      <w:rFonts w:ascii="Times New Roman" w:hAnsi="Times New Roman" w:eastAsia="宋体" w:cs="Times New Roman"/>
                      <w:sz w:val="21"/>
                      <w:szCs w:val="21"/>
                    </w:rPr>
                  </w:pPr>
                  <w:r>
                    <w:rPr>
                      <w:rFonts w:ascii="Times New Roman" w:hAnsi="宋体" w:eastAsia="宋体" w:cs="Times New Roman"/>
                      <w:sz w:val="21"/>
                      <w:szCs w:val="21"/>
                    </w:rPr>
                    <w:t>条款</w:t>
                  </w:r>
                </w:p>
              </w:tc>
              <w:tc>
                <w:tcPr>
                  <w:tcW w:w="4211" w:type="dxa"/>
                  <w:vAlign w:val="center"/>
                </w:tcPr>
                <w:p>
                  <w:pPr>
                    <w:pStyle w:val="16"/>
                    <w:spacing w:line="240" w:lineRule="auto"/>
                    <w:jc w:val="center"/>
                    <w:rPr>
                      <w:rFonts w:ascii="Times New Roman" w:hAnsi="Times New Roman" w:eastAsia="宋体" w:cs="Times New Roman"/>
                      <w:sz w:val="21"/>
                      <w:szCs w:val="21"/>
                    </w:rPr>
                  </w:pPr>
                  <w:r>
                    <w:rPr>
                      <w:rFonts w:ascii="Times New Roman" w:hAnsi="宋体" w:eastAsia="宋体" w:cs="Times New Roman"/>
                      <w:sz w:val="21"/>
                      <w:szCs w:val="21"/>
                    </w:rPr>
                    <w:t>内容</w:t>
                  </w:r>
                </w:p>
              </w:tc>
              <w:tc>
                <w:tcPr>
                  <w:tcW w:w="1559" w:type="dxa"/>
                  <w:vAlign w:val="center"/>
                </w:tcPr>
                <w:p>
                  <w:pPr>
                    <w:pStyle w:val="16"/>
                    <w:spacing w:line="240" w:lineRule="auto"/>
                    <w:jc w:val="center"/>
                    <w:rPr>
                      <w:rFonts w:ascii="Times New Roman" w:hAnsi="Times New Roman" w:eastAsia="宋体" w:cs="Times New Roman"/>
                      <w:sz w:val="21"/>
                      <w:szCs w:val="21"/>
                    </w:rPr>
                  </w:pPr>
                  <w:r>
                    <w:rPr>
                      <w:rFonts w:ascii="Times New Roman" w:hAnsi="宋体" w:eastAsia="宋体" w:cs="Times New Roman"/>
                      <w:sz w:val="21"/>
                      <w:szCs w:val="21"/>
                    </w:rPr>
                    <w:t>项目情况</w:t>
                  </w:r>
                </w:p>
              </w:tc>
              <w:tc>
                <w:tcPr>
                  <w:tcW w:w="646" w:type="dxa"/>
                  <w:vAlign w:val="center"/>
                </w:tcPr>
                <w:p>
                  <w:pPr>
                    <w:pStyle w:val="16"/>
                    <w:spacing w:line="240" w:lineRule="auto"/>
                    <w:rPr>
                      <w:rFonts w:ascii="Times New Roman" w:hAnsi="Times New Roman" w:eastAsia="宋体" w:cs="Times New Roman"/>
                      <w:sz w:val="21"/>
                      <w:szCs w:val="21"/>
                    </w:rPr>
                  </w:pPr>
                  <w:r>
                    <w:rPr>
                      <w:rFonts w:ascii="Times New Roman" w:hAnsi="宋体" w:eastAsia="宋体" w:cs="Times New Roman"/>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tcPr>
                <w:p>
                  <w:pPr>
                    <w:pStyle w:val="16"/>
                    <w:spacing w:line="240" w:lineRule="auto"/>
                    <w:rPr>
                      <w:rFonts w:ascii="Times New Roman" w:hAnsi="Times New Roman" w:eastAsia="宋体" w:cs="Times New Roman"/>
                      <w:sz w:val="21"/>
                      <w:szCs w:val="21"/>
                    </w:rPr>
                  </w:pPr>
                  <w:r>
                    <w:rPr>
                      <w:rFonts w:ascii="Times New Roman" w:hAnsi="宋体" w:eastAsia="宋体" w:cs="Times New Roman"/>
                      <w:sz w:val="21"/>
                      <w:szCs w:val="21"/>
                    </w:rPr>
                    <w:t>第二十八条</w:t>
                  </w:r>
                </w:p>
              </w:tc>
              <w:tc>
                <w:tcPr>
                  <w:tcW w:w="4211" w:type="dxa"/>
                </w:tcPr>
                <w:p>
                  <w:pPr>
                    <w:pStyle w:val="16"/>
                    <w:spacing w:line="240" w:lineRule="auto"/>
                    <w:rPr>
                      <w:rFonts w:ascii="Times New Roman" w:hAnsi="Times New Roman" w:eastAsia="宋体" w:cs="Times New Roman"/>
                      <w:sz w:val="21"/>
                      <w:szCs w:val="21"/>
                    </w:rPr>
                  </w:pPr>
                  <w:r>
                    <w:rPr>
                      <w:rFonts w:ascii="Times New Roman" w:hAnsi="宋体" w:eastAsia="宋体" w:cs="Times New Roman"/>
                      <w:sz w:val="21"/>
                      <w:szCs w:val="21"/>
                    </w:rPr>
                    <w:t>排污单位排放水污染物，不得超过经核定的水污染物排放总量，并应当按照规定设置便于检查、采样的规范化排污口，悬挂标志牌</w:t>
                  </w:r>
                  <w:r>
                    <w:rPr>
                      <w:rFonts w:ascii="Times New Roman" w:hAnsi="Times New Roman" w:eastAsia="宋体" w:cs="Times New Roman"/>
                      <w:sz w:val="21"/>
                      <w:szCs w:val="21"/>
                    </w:rPr>
                    <w:t>;</w:t>
                  </w:r>
                  <w:r>
                    <w:rPr>
                      <w:rFonts w:ascii="Times New Roman" w:hAnsi="宋体" w:eastAsia="宋体" w:cs="Times New Roman"/>
                      <w:sz w:val="21"/>
                      <w:szCs w:val="21"/>
                    </w:rPr>
                    <w:t>不得私设暗管或者采取其他规避监管的方式排放水污染物。禁止在太湖流域设置不符合国家产业政策和水环境综合治理要求的造纸、制革、酒精、淀粉、冶金、酿造、印染、电镀等排放水污染物的生产项目，现有的生产项目不能实现达标排放的应当依法关闭。在太湖流域新设的企业应当符合国家规定的清洁生产要求，现有的企业尚未达到清洁生产要求的，应当按照清洁生产规划要求进行技术改造，两省一市人民</w:t>
                  </w:r>
                  <w:r>
                    <w:rPr>
                      <w:rFonts w:hint="eastAsia" w:ascii="Times New Roman" w:hAnsi="宋体" w:eastAsia="宋体" w:cs="Times New Roman"/>
                      <w:sz w:val="21"/>
                      <w:szCs w:val="21"/>
                    </w:rPr>
                    <w:t>政府应当加强监督检查。</w:t>
                  </w:r>
                </w:p>
              </w:tc>
              <w:tc>
                <w:tcPr>
                  <w:tcW w:w="1559" w:type="dxa"/>
                </w:tcPr>
                <w:p>
                  <w:pPr>
                    <w:pStyle w:val="16"/>
                    <w:spacing w:line="240" w:lineRule="auto"/>
                    <w:rPr>
                      <w:rFonts w:ascii="Times New Roman" w:hAnsi="Times New Roman" w:eastAsia="宋体" w:cs="Times New Roman"/>
                      <w:sz w:val="21"/>
                      <w:szCs w:val="21"/>
                    </w:rPr>
                  </w:pPr>
                  <w:r>
                    <w:rPr>
                      <w:rFonts w:ascii="Times New Roman" w:hAnsi="宋体" w:eastAsia="宋体" w:cs="Times New Roman"/>
                      <w:sz w:val="21"/>
                      <w:szCs w:val="21"/>
                    </w:rPr>
                    <w:t>本项目排放的废水为纳管排放，设有规范的排污口。本项目建设符合国家和地方产业政策，符合清洁生产要求。</w:t>
                  </w:r>
                </w:p>
              </w:tc>
              <w:tc>
                <w:tcPr>
                  <w:tcW w:w="646" w:type="dxa"/>
                </w:tcPr>
                <w:p>
                  <w:pPr>
                    <w:pStyle w:val="16"/>
                    <w:spacing w:line="240" w:lineRule="auto"/>
                    <w:rPr>
                      <w:rFonts w:ascii="Times New Roman" w:hAnsi="Times New Roman" w:eastAsia="宋体" w:cs="Times New Roman"/>
                      <w:sz w:val="21"/>
                      <w:szCs w:val="21"/>
                    </w:rPr>
                  </w:pPr>
                  <w:r>
                    <w:rPr>
                      <w:rFonts w:ascii="Times New Roman" w:hAnsi="宋体"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tcPr>
                <w:p>
                  <w:pPr>
                    <w:pStyle w:val="16"/>
                    <w:spacing w:line="24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第二十九条</w:t>
                  </w:r>
                </w:p>
              </w:tc>
              <w:tc>
                <w:tcPr>
                  <w:tcW w:w="4211" w:type="dxa"/>
                </w:tcPr>
                <w:p>
                  <w:pPr>
                    <w:pStyle w:val="16"/>
                    <w:spacing w:line="24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新孟河、望虞河以外的其他主要入太湖河道，自河口1万米上溯至5万米河道岸线内及其岸线两侧各1000米范围内，禁止下列行为：（一）新建、扩建化工、医药生产项目；（二）新建、扩建污水集中处理设施排污口以外的排污口； （三）扩大水产养殖规模。</w:t>
                  </w:r>
                </w:p>
              </w:tc>
              <w:tc>
                <w:tcPr>
                  <w:tcW w:w="1559" w:type="dxa"/>
                </w:tcPr>
                <w:p>
                  <w:pPr>
                    <w:pStyle w:val="16"/>
                    <w:spacing w:line="24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项目所在地不在条款所属范围内，本项目不属条款所列建设项目。</w:t>
                  </w:r>
                </w:p>
              </w:tc>
              <w:tc>
                <w:tcPr>
                  <w:tcW w:w="646" w:type="dxa"/>
                </w:tcPr>
                <w:p>
                  <w:pPr>
                    <w:pStyle w:val="16"/>
                    <w:spacing w:line="24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tcPr>
                <w:p>
                  <w:pPr>
                    <w:pStyle w:val="16"/>
                    <w:spacing w:line="24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第三十条</w:t>
                  </w:r>
                </w:p>
              </w:tc>
              <w:tc>
                <w:tcPr>
                  <w:tcW w:w="4211" w:type="dxa"/>
                </w:tcPr>
                <w:p>
                  <w:pPr>
                    <w:pStyle w:val="16"/>
                    <w:spacing w:line="24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曰）新建、扩建高尔夫球场；（四）新建、扩建畜禽养殖场；（五）新建、扩建向水体排放污染物的建设项目；（六）本条例第二十九条规定的行为。</w:t>
                  </w:r>
                </w:p>
              </w:tc>
              <w:tc>
                <w:tcPr>
                  <w:tcW w:w="1559" w:type="dxa"/>
                </w:tcPr>
                <w:p>
                  <w:pPr>
                    <w:pStyle w:val="16"/>
                    <w:spacing w:line="24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项目不属于条款所列禁止建设项目。</w:t>
                  </w:r>
                </w:p>
              </w:tc>
              <w:tc>
                <w:tcPr>
                  <w:tcW w:w="646" w:type="dxa"/>
                </w:tcPr>
                <w:p>
                  <w:pPr>
                    <w:pStyle w:val="16"/>
                    <w:spacing w:line="24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bl>
          <w:p>
            <w:pPr>
              <w:pStyle w:val="25"/>
              <w:spacing w:before="0" w:beforeAutospacing="0" w:after="0" w:afterAutospacing="0"/>
              <w:ind w:firstLine="480" w:firstLineChars="200"/>
              <w:jc w:val="both"/>
              <w:rPr>
                <w:rFonts w:eastAsia="宋体"/>
              </w:rPr>
            </w:pPr>
            <w:r>
              <w:rPr>
                <w:rFonts w:hint="eastAsia" w:eastAsia="宋体"/>
              </w:rPr>
              <w:t>根据表1-2，本项目建设符合《太湖流域管理条例》相关要求。</w:t>
            </w:r>
          </w:p>
          <w:p>
            <w:pPr>
              <w:pStyle w:val="25"/>
              <w:spacing w:before="0" w:beforeAutospacing="0" w:after="0" w:afterAutospacing="0"/>
              <w:ind w:firstLine="482" w:firstLineChars="200"/>
              <w:jc w:val="both"/>
              <w:rPr>
                <w:rFonts w:eastAsia="宋体"/>
                <w:b/>
              </w:rPr>
            </w:pPr>
            <w:r>
              <w:rPr>
                <w:rFonts w:hint="eastAsia" w:eastAsia="宋体"/>
                <w:b/>
              </w:rPr>
              <w:t>4、与《关于落实&lt;水污染防治行动计划&gt;实施区域差别化环境准入的指导意见》符合性分析</w:t>
            </w:r>
          </w:p>
          <w:p>
            <w:pPr>
              <w:pStyle w:val="25"/>
              <w:spacing w:before="0" w:beforeAutospacing="0" w:after="0" w:afterAutospacing="0"/>
              <w:ind w:firstLine="480" w:firstLineChars="200"/>
              <w:jc w:val="both"/>
              <w:rPr>
                <w:rFonts w:eastAsia="宋体"/>
              </w:rPr>
            </w:pPr>
            <w:r>
              <w:rPr>
                <w:rFonts w:hint="eastAsia" w:eastAsia="宋体"/>
              </w:rPr>
              <w:t>建设项目与《关于落实&lt;水污染防治行动计划&gt;实施区域差别化环境准入的指导意见》（环环评[2016]190号）有关要求符合性分析见表1-3。</w:t>
            </w:r>
          </w:p>
          <w:p>
            <w:pPr>
              <w:pStyle w:val="25"/>
              <w:spacing w:before="0" w:beforeAutospacing="0" w:after="0" w:afterAutospacing="0"/>
              <w:jc w:val="center"/>
              <w:rPr>
                <w:rFonts w:eastAsia="宋体"/>
                <w:b/>
                <w:bCs/>
                <w:sz w:val="21"/>
                <w:szCs w:val="21"/>
              </w:rPr>
            </w:pPr>
            <w:r>
              <w:rPr>
                <w:rFonts w:hint="eastAsia" w:eastAsia="宋体"/>
                <w:b/>
                <w:bCs/>
                <w:sz w:val="21"/>
                <w:szCs w:val="21"/>
              </w:rPr>
              <w:t>表1-3 建设项目与环环评[2016]190号有关内容的符合性分析</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3119"/>
              <w:gridCol w:w="1984"/>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序号</w:t>
                  </w:r>
                </w:p>
              </w:tc>
              <w:tc>
                <w:tcPr>
                  <w:tcW w:w="3119"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有关要求</w:t>
                  </w:r>
                </w:p>
              </w:tc>
              <w:tc>
                <w:tcPr>
                  <w:tcW w:w="1984"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项目情况</w:t>
                  </w:r>
                </w:p>
              </w:tc>
              <w:tc>
                <w:tcPr>
                  <w:tcW w:w="92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c>
                <w:tcPr>
                  <w:tcW w:w="3119" w:type="dxa"/>
                  <w:vAlign w:val="center"/>
                </w:tcPr>
                <w:p>
                  <w:pPr>
                    <w:pStyle w:val="16"/>
                    <w:spacing w:line="24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对太湖流域新建原料化工、燃料、颜料及排放氮磷污染物的工业项目，不予环境准入；实施江、湖一体的氮、磷污染控制，防范和治理江、湖富营养化。严格沿江港口码头项目环境准入，强化环境风险防范措施。</w:t>
                  </w:r>
                </w:p>
              </w:tc>
              <w:tc>
                <w:tcPr>
                  <w:tcW w:w="1984" w:type="dxa"/>
                  <w:vAlign w:val="center"/>
                </w:tcPr>
                <w:p>
                  <w:pPr>
                    <w:pStyle w:val="16"/>
                    <w:spacing w:line="24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本项目为学校建设，非工业项目。项目排放废水均纳管处理。</w:t>
                  </w:r>
                </w:p>
              </w:tc>
              <w:tc>
                <w:tcPr>
                  <w:tcW w:w="92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bl>
          <w:p>
            <w:pPr>
              <w:pStyle w:val="25"/>
              <w:spacing w:before="0" w:beforeAutospacing="0" w:after="0" w:afterAutospacing="0"/>
              <w:ind w:firstLine="480" w:firstLineChars="200"/>
              <w:jc w:val="both"/>
              <w:rPr>
                <w:rFonts w:eastAsia="宋体"/>
              </w:rPr>
            </w:pPr>
            <w:r>
              <w:rPr>
                <w:rFonts w:hint="eastAsia" w:eastAsia="宋体"/>
              </w:rPr>
              <w:t>综上，项目符合《关于落实&lt;水污染防治行动计划&gt;实施区域差别化环境准入的指导意见》有关要求。</w:t>
            </w:r>
          </w:p>
          <w:p>
            <w:pPr>
              <w:pStyle w:val="25"/>
              <w:spacing w:before="0" w:beforeAutospacing="0" w:after="0" w:afterAutospacing="0"/>
              <w:ind w:firstLine="482" w:firstLineChars="200"/>
              <w:jc w:val="both"/>
              <w:rPr>
                <w:rFonts w:eastAsia="宋体"/>
                <w:b/>
              </w:rPr>
            </w:pPr>
            <w:r>
              <w:rPr>
                <w:rFonts w:hint="eastAsia" w:eastAsia="宋体"/>
                <w:b/>
              </w:rPr>
              <w:t>5、《长江三角洲区域生态环境保护共同规划》符合性分析</w:t>
            </w:r>
          </w:p>
          <w:p>
            <w:pPr>
              <w:pStyle w:val="25"/>
              <w:spacing w:before="0" w:beforeAutospacing="0" w:after="0" w:afterAutospacing="0"/>
              <w:ind w:firstLine="480" w:firstLineChars="200"/>
              <w:jc w:val="both"/>
              <w:rPr>
                <w:rFonts w:eastAsia="宋体"/>
              </w:rPr>
            </w:pPr>
            <w:r>
              <w:rPr>
                <w:rFonts w:hint="eastAsia" w:eastAsia="宋体"/>
              </w:rPr>
              <w:t>2019年12月，中共中央、国务院印发《长江三角洲区域一体化发展规划纲要》，明确了坚持生态保护优先，把保护和修复生态环境摆在重要位置，加强生态空间共保，推动环境协同治理夯实绿色发展生态本底，努力建设绿色美丽长三角。具体符合性分析详见表1-4。</w:t>
            </w:r>
          </w:p>
          <w:p>
            <w:pPr>
              <w:pStyle w:val="25"/>
              <w:spacing w:before="0" w:beforeAutospacing="0" w:after="0" w:afterAutospacing="0"/>
              <w:jc w:val="center"/>
              <w:rPr>
                <w:rFonts w:eastAsia="宋体"/>
                <w:b/>
                <w:bCs/>
                <w:sz w:val="21"/>
                <w:szCs w:val="21"/>
              </w:rPr>
            </w:pPr>
            <w:r>
              <w:rPr>
                <w:rFonts w:hint="eastAsia" w:eastAsia="宋体"/>
                <w:b/>
                <w:bCs/>
                <w:sz w:val="21"/>
                <w:szCs w:val="21"/>
              </w:rPr>
              <w:t>表1-4 《长江三角洲区域生态环境保护共同规划》符合性分析</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3378"/>
              <w:gridCol w:w="2394"/>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pStyle w:val="16"/>
                    <w:spacing w:line="240" w:lineRule="auto"/>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序号</w:t>
                  </w:r>
                </w:p>
              </w:tc>
              <w:tc>
                <w:tcPr>
                  <w:tcW w:w="3402" w:type="dxa"/>
                  <w:vAlign w:val="center"/>
                </w:tcPr>
                <w:p>
                  <w:pPr>
                    <w:pStyle w:val="16"/>
                    <w:spacing w:line="240" w:lineRule="auto"/>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有关要求</w:t>
                  </w:r>
                </w:p>
              </w:tc>
              <w:tc>
                <w:tcPr>
                  <w:tcW w:w="2410" w:type="dxa"/>
                  <w:vAlign w:val="center"/>
                </w:tcPr>
                <w:p>
                  <w:pPr>
                    <w:pStyle w:val="16"/>
                    <w:spacing w:line="240" w:lineRule="auto"/>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项目情况</w:t>
                  </w:r>
                </w:p>
              </w:tc>
              <w:tc>
                <w:tcPr>
                  <w:tcW w:w="646" w:type="dxa"/>
                  <w:vAlign w:val="center"/>
                </w:tcPr>
                <w:p>
                  <w:pPr>
                    <w:pStyle w:val="16"/>
                    <w:spacing w:line="240" w:lineRule="auto"/>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pStyle w:val="16"/>
                    <w:spacing w:line="240" w:lineRule="auto"/>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w:t>
                  </w:r>
                </w:p>
              </w:tc>
              <w:tc>
                <w:tcPr>
                  <w:tcW w:w="3402" w:type="dxa"/>
                  <w:vAlign w:val="center"/>
                </w:tcPr>
                <w:p>
                  <w:pPr>
                    <w:pStyle w:val="16"/>
                    <w:spacing w:line="240" w:lineRule="auto"/>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强化污水收集处理设施建设：建设绿色智能、安全可靠的城镇污水收集处理设施；推进农村生活污水治理工程</w:t>
                  </w:r>
                  <w:r>
                    <w:rPr>
                      <w:rFonts w:hint="eastAsia" w:ascii="Times New Roman" w:hAnsi="Times New Roman" w:eastAsia="宋体" w:cs="Times New Roman"/>
                      <w:kern w:val="0"/>
                      <w:sz w:val="21"/>
                      <w:szCs w:val="21"/>
                      <w:lang w:eastAsia="zh-CN"/>
                    </w:rPr>
                    <w:t>；</w:t>
                  </w:r>
                  <w:r>
                    <w:rPr>
                      <w:rFonts w:hint="eastAsia" w:ascii="Times New Roman" w:hAnsi="Times New Roman" w:eastAsia="宋体" w:cs="Times New Roman"/>
                      <w:kern w:val="0"/>
                      <w:sz w:val="21"/>
                      <w:szCs w:val="21"/>
                    </w:rPr>
                    <w:t>加快重点地区污水收集处理设施建设</w:t>
                  </w:r>
                </w:p>
              </w:tc>
              <w:tc>
                <w:tcPr>
                  <w:tcW w:w="2410" w:type="dxa"/>
                  <w:vAlign w:val="center"/>
                </w:tcPr>
                <w:p>
                  <w:pPr>
                    <w:pStyle w:val="16"/>
                    <w:spacing w:line="240" w:lineRule="auto"/>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本项目</w:t>
                  </w:r>
                  <w:r>
                    <w:rPr>
                      <w:rFonts w:hint="eastAsia" w:ascii="Times New Roman" w:hAnsi="Times New Roman" w:eastAsia="宋体" w:cs="Times New Roman"/>
                      <w:sz w:val="21"/>
                      <w:szCs w:val="21"/>
                    </w:rPr>
                    <w:t>实验室废水经室外酸碱中和池处理后，</w:t>
                  </w:r>
                  <w:r>
                    <w:rPr>
                      <w:rFonts w:hint="eastAsia" w:ascii="Times New Roman" w:hAnsi="Times New Roman" w:eastAsia="宋体" w:cs="Times New Roman"/>
                      <w:kern w:val="0"/>
                      <w:sz w:val="21"/>
                      <w:szCs w:val="21"/>
                    </w:rPr>
                    <w:t>与经化粪池预处理的生活污水一同纳管排放。</w:t>
                  </w:r>
                </w:p>
              </w:tc>
              <w:tc>
                <w:tcPr>
                  <w:tcW w:w="646" w:type="dxa"/>
                  <w:vAlign w:val="center"/>
                </w:tcPr>
                <w:p>
                  <w:pPr>
                    <w:pStyle w:val="16"/>
                    <w:spacing w:line="240" w:lineRule="auto"/>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pStyle w:val="16"/>
                    <w:spacing w:line="240" w:lineRule="auto"/>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2</w:t>
                  </w:r>
                </w:p>
              </w:tc>
              <w:tc>
                <w:tcPr>
                  <w:tcW w:w="3402" w:type="dxa"/>
                  <w:vAlign w:val="center"/>
                </w:tcPr>
                <w:p>
                  <w:pPr>
                    <w:pStyle w:val="16"/>
                    <w:spacing w:line="240" w:lineRule="auto"/>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加强固废危废联防联治：加强生活垃圾分类处置能力建设；提升工业固废利用处置水平；强化危 废收集处置设施建设；严格区域固废危废监管；推进区域“无废城市”建设示范</w:t>
                  </w:r>
                </w:p>
              </w:tc>
              <w:tc>
                <w:tcPr>
                  <w:tcW w:w="2410" w:type="dxa"/>
                  <w:vAlign w:val="center"/>
                </w:tcPr>
                <w:p>
                  <w:pPr>
                    <w:pStyle w:val="16"/>
                    <w:spacing w:line="240" w:lineRule="auto"/>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本项目生活垃圾、餐饮垃圾由环卫部门统一清运，危险废物交有资质的单位处置。</w:t>
                  </w:r>
                </w:p>
              </w:tc>
              <w:tc>
                <w:tcPr>
                  <w:tcW w:w="646" w:type="dxa"/>
                  <w:vAlign w:val="center"/>
                </w:tcPr>
                <w:p>
                  <w:pPr>
                    <w:pStyle w:val="16"/>
                    <w:spacing w:line="240" w:lineRule="auto"/>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pStyle w:val="16"/>
                    <w:spacing w:line="240" w:lineRule="auto"/>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3</w:t>
                  </w:r>
                </w:p>
              </w:tc>
              <w:tc>
                <w:tcPr>
                  <w:tcW w:w="3402" w:type="dxa"/>
                  <w:vAlign w:val="center"/>
                </w:tcPr>
                <w:p>
                  <w:pPr>
                    <w:pStyle w:val="16"/>
                    <w:spacing w:line="240" w:lineRule="auto"/>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统筹环境应急能力建设：推进环境风险评估与管理；加强环境应急协同响应能力；推动生态环境与健康常态化管理；确保核与辐射安全。</w:t>
                  </w:r>
                </w:p>
              </w:tc>
              <w:tc>
                <w:tcPr>
                  <w:tcW w:w="2410" w:type="dxa"/>
                  <w:vAlign w:val="center"/>
                </w:tcPr>
                <w:p>
                  <w:pPr>
                    <w:pStyle w:val="16"/>
                    <w:spacing w:line="240" w:lineRule="auto"/>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本项目按要求加强环境风险管理。</w:t>
                  </w:r>
                </w:p>
              </w:tc>
              <w:tc>
                <w:tcPr>
                  <w:tcW w:w="646" w:type="dxa"/>
                  <w:vAlign w:val="center"/>
                </w:tcPr>
                <w:p>
                  <w:pPr>
                    <w:pStyle w:val="16"/>
                    <w:spacing w:line="240" w:lineRule="auto"/>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符合</w:t>
                  </w:r>
                </w:p>
              </w:tc>
            </w:tr>
          </w:tbl>
          <w:p>
            <w:pPr>
              <w:autoSpaceDE w:val="0"/>
              <w:autoSpaceDN w:val="0"/>
              <w:adjustRightInd w:val="0"/>
              <w:snapToGrid w:val="0"/>
              <w:ind w:firstLine="482" w:firstLineChars="200"/>
              <w:rPr>
                <w:rFonts w:eastAsia="宋体"/>
                <w:b/>
                <w:bCs/>
              </w:rPr>
            </w:pPr>
            <w:r>
              <w:rPr>
                <w:rFonts w:hint="eastAsia" w:eastAsia="宋体"/>
                <w:b/>
                <w:bCs/>
              </w:rPr>
              <w:t>6</w:t>
            </w:r>
            <w:r>
              <w:rPr>
                <w:rFonts w:eastAsia="宋体"/>
                <w:b/>
                <w:bCs/>
              </w:rPr>
              <w:t>、《建设项目环境保护管理条例》（国务院令第682号）“四性五不批”符合性分析</w:t>
            </w:r>
          </w:p>
          <w:p>
            <w:pPr>
              <w:ind w:firstLine="480"/>
              <w:rPr>
                <w:rFonts w:eastAsia="宋体"/>
              </w:rPr>
            </w:pPr>
            <w:r>
              <w:rPr>
                <w:rFonts w:eastAsia="宋体"/>
                <w:snapToGrid w:val="0"/>
                <w:kern w:val="0"/>
              </w:rPr>
              <w:t>根据中华人民共和国国务院第682号《建设项目环境保护管理条例》“四性五不批”要求，本项目符合性分析见下表</w:t>
            </w:r>
            <w:r>
              <w:rPr>
                <w:rFonts w:hint="eastAsia" w:eastAsia="宋体"/>
                <w:snapToGrid w:val="0"/>
                <w:kern w:val="0"/>
              </w:rPr>
              <w:t>1-5</w:t>
            </w:r>
            <w:r>
              <w:rPr>
                <w:rFonts w:eastAsia="宋体"/>
                <w:snapToGrid w:val="0"/>
                <w:kern w:val="0"/>
              </w:rPr>
              <w:t>。</w:t>
            </w:r>
          </w:p>
          <w:p>
            <w:pPr>
              <w:widowControl/>
              <w:tabs>
                <w:tab w:val="left" w:pos="-735"/>
              </w:tabs>
              <w:adjustRightInd w:val="0"/>
              <w:snapToGrid w:val="0"/>
              <w:spacing w:before="156" w:beforeLines="50" w:line="240" w:lineRule="atLeast"/>
              <w:jc w:val="center"/>
              <w:rPr>
                <w:rFonts w:eastAsia="宋体"/>
                <w:b/>
                <w:bCs/>
                <w:kern w:val="0"/>
                <w:sz w:val="21"/>
                <w:szCs w:val="21"/>
              </w:rPr>
            </w:pPr>
            <w:r>
              <w:rPr>
                <w:rFonts w:hint="eastAsia" w:eastAsia="宋体"/>
                <w:b/>
                <w:bCs/>
                <w:kern w:val="0"/>
                <w:sz w:val="21"/>
                <w:szCs w:val="21"/>
              </w:rPr>
              <w:t>表1</w:t>
            </w:r>
            <w:r>
              <w:rPr>
                <w:rFonts w:eastAsia="宋体"/>
                <w:b/>
                <w:bCs/>
                <w:kern w:val="0"/>
                <w:sz w:val="21"/>
                <w:szCs w:val="21"/>
              </w:rPr>
              <w:t>-</w:t>
            </w:r>
            <w:r>
              <w:rPr>
                <w:rFonts w:hint="eastAsia" w:eastAsia="宋体"/>
                <w:b/>
                <w:bCs/>
                <w:kern w:val="0"/>
                <w:sz w:val="21"/>
                <w:szCs w:val="21"/>
              </w:rPr>
              <w:t>5</w:t>
            </w:r>
            <w:r>
              <w:rPr>
                <w:rFonts w:eastAsia="宋体"/>
                <w:b/>
                <w:bCs/>
                <w:kern w:val="0"/>
                <w:sz w:val="21"/>
                <w:szCs w:val="21"/>
              </w:rPr>
              <w:t xml:space="preserve"> 本项目与《建设项目环境保护管理条例》“四性五不批”符合性分析</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17"/>
              <w:gridCol w:w="2660"/>
              <w:gridCol w:w="3227"/>
              <w:gridCol w:w="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249" w:type="pct"/>
                  <w:gridSpan w:val="2"/>
                  <w:vAlign w:val="center"/>
                </w:tcPr>
                <w:p>
                  <w:pPr>
                    <w:adjustRightInd w:val="0"/>
                    <w:snapToGrid w:val="0"/>
                    <w:spacing w:line="240" w:lineRule="auto"/>
                    <w:jc w:val="center"/>
                    <w:rPr>
                      <w:rFonts w:eastAsia="宋体"/>
                      <w:b/>
                      <w:sz w:val="21"/>
                      <w:szCs w:val="21"/>
                      <w:lang w:eastAsia="zh-TW"/>
                    </w:rPr>
                  </w:pPr>
                  <w:r>
                    <w:rPr>
                      <w:rFonts w:eastAsia="宋体"/>
                      <w:b/>
                      <w:sz w:val="21"/>
                      <w:szCs w:val="21"/>
                      <w:lang w:eastAsia="zh-TW"/>
                    </w:rPr>
                    <w:t>建设项目环境保护管理条例</w:t>
                  </w:r>
                </w:p>
              </w:tc>
              <w:tc>
                <w:tcPr>
                  <w:tcW w:w="2358" w:type="pct"/>
                  <w:vAlign w:val="center"/>
                </w:tcPr>
                <w:p>
                  <w:pPr>
                    <w:adjustRightInd w:val="0"/>
                    <w:snapToGrid w:val="0"/>
                    <w:spacing w:line="240" w:lineRule="auto"/>
                    <w:jc w:val="center"/>
                    <w:rPr>
                      <w:rFonts w:eastAsia="宋体"/>
                      <w:b/>
                      <w:sz w:val="21"/>
                      <w:szCs w:val="21"/>
                      <w:lang w:eastAsia="zh-TW"/>
                    </w:rPr>
                  </w:pPr>
                  <w:r>
                    <w:rPr>
                      <w:rFonts w:eastAsia="宋体"/>
                      <w:b/>
                      <w:sz w:val="21"/>
                      <w:szCs w:val="21"/>
                      <w:lang w:eastAsia="zh-TW"/>
                    </w:rPr>
                    <w:t>符合性分析</w:t>
                  </w:r>
                </w:p>
              </w:tc>
              <w:tc>
                <w:tcPr>
                  <w:tcW w:w="393" w:type="pct"/>
                  <w:vAlign w:val="center"/>
                </w:tcPr>
                <w:p>
                  <w:pPr>
                    <w:adjustRightInd w:val="0"/>
                    <w:snapToGrid w:val="0"/>
                    <w:spacing w:line="240" w:lineRule="auto"/>
                    <w:jc w:val="center"/>
                    <w:rPr>
                      <w:rFonts w:eastAsia="宋体"/>
                      <w:b/>
                      <w:sz w:val="21"/>
                      <w:szCs w:val="21"/>
                    </w:rPr>
                  </w:pPr>
                  <w:r>
                    <w:rPr>
                      <w:rFonts w:eastAsia="宋体"/>
                      <w:b/>
                      <w:sz w:val="21"/>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5" w:type="pct"/>
                  <w:vMerge w:val="restart"/>
                  <w:vAlign w:val="center"/>
                </w:tcPr>
                <w:p>
                  <w:pPr>
                    <w:adjustRightInd w:val="0"/>
                    <w:snapToGrid w:val="0"/>
                    <w:spacing w:line="240" w:lineRule="auto"/>
                    <w:jc w:val="center"/>
                    <w:rPr>
                      <w:rFonts w:eastAsia="宋体"/>
                      <w:sz w:val="21"/>
                      <w:szCs w:val="21"/>
                    </w:rPr>
                  </w:pPr>
                  <w:r>
                    <w:rPr>
                      <w:rFonts w:eastAsia="宋体"/>
                      <w:sz w:val="21"/>
                      <w:szCs w:val="21"/>
                    </w:rPr>
                    <w:t>四</w:t>
                  </w:r>
                </w:p>
                <w:p>
                  <w:pPr>
                    <w:adjustRightInd w:val="0"/>
                    <w:snapToGrid w:val="0"/>
                    <w:spacing w:line="240" w:lineRule="auto"/>
                    <w:jc w:val="center"/>
                    <w:rPr>
                      <w:rFonts w:eastAsia="宋体"/>
                      <w:sz w:val="21"/>
                      <w:szCs w:val="21"/>
                    </w:rPr>
                  </w:pPr>
                  <w:r>
                    <w:rPr>
                      <w:rFonts w:eastAsia="宋体"/>
                      <w:sz w:val="21"/>
                      <w:szCs w:val="21"/>
                    </w:rPr>
                    <w:t>性</w:t>
                  </w:r>
                </w:p>
              </w:tc>
              <w:tc>
                <w:tcPr>
                  <w:tcW w:w="1943" w:type="pct"/>
                  <w:vAlign w:val="center"/>
                </w:tcPr>
                <w:p>
                  <w:pPr>
                    <w:adjustRightInd w:val="0"/>
                    <w:snapToGrid w:val="0"/>
                    <w:spacing w:line="240" w:lineRule="auto"/>
                    <w:jc w:val="center"/>
                    <w:rPr>
                      <w:rFonts w:eastAsia="宋体"/>
                      <w:sz w:val="21"/>
                      <w:szCs w:val="21"/>
                      <w:lang w:eastAsia="zh-TW"/>
                    </w:rPr>
                  </w:pPr>
                  <w:r>
                    <w:rPr>
                      <w:rFonts w:eastAsia="宋体"/>
                      <w:sz w:val="21"/>
                      <w:szCs w:val="21"/>
                      <w:lang w:eastAsia="zh-TW"/>
                    </w:rPr>
                    <w:t>建设项目的环境可行性</w:t>
                  </w:r>
                </w:p>
              </w:tc>
              <w:tc>
                <w:tcPr>
                  <w:tcW w:w="2358" w:type="pct"/>
                  <w:vAlign w:val="center"/>
                </w:tcPr>
                <w:p>
                  <w:pPr>
                    <w:adjustRightInd w:val="0"/>
                    <w:snapToGrid w:val="0"/>
                    <w:spacing w:line="240" w:lineRule="auto"/>
                    <w:rPr>
                      <w:rFonts w:eastAsia="宋体"/>
                      <w:sz w:val="21"/>
                      <w:szCs w:val="21"/>
                      <w:lang w:eastAsia="zh-TW"/>
                    </w:rPr>
                  </w:pPr>
                  <w:r>
                    <w:rPr>
                      <w:rFonts w:eastAsia="宋体"/>
                      <w:sz w:val="21"/>
                      <w:szCs w:val="21"/>
                    </w:rPr>
                    <w:t>本项目</w:t>
                  </w:r>
                  <w:r>
                    <w:rPr>
                      <w:rFonts w:eastAsia="宋体"/>
                      <w:sz w:val="21"/>
                      <w:szCs w:val="21"/>
                      <w:lang w:eastAsia="zh-TW"/>
                    </w:rPr>
                    <w:t>符合《关于以改善环境质量为核心加强环境影响评价管理的通知》（环评[2016]150号）中“三线一单”要求。</w:t>
                  </w:r>
                </w:p>
              </w:tc>
              <w:tc>
                <w:tcPr>
                  <w:tcW w:w="393" w:type="pct"/>
                  <w:vAlign w:val="center"/>
                </w:tcPr>
                <w:p>
                  <w:pPr>
                    <w:adjustRightInd w:val="0"/>
                    <w:snapToGrid w:val="0"/>
                    <w:spacing w:line="240" w:lineRule="auto"/>
                    <w:jc w:val="center"/>
                    <w:rPr>
                      <w:rFonts w:eastAsia="宋体"/>
                      <w:sz w:val="21"/>
                      <w:szCs w:val="21"/>
                    </w:rPr>
                  </w:pPr>
                  <w:r>
                    <w:rPr>
                      <w:rFonts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5" w:type="pct"/>
                  <w:vMerge w:val="continue"/>
                  <w:vAlign w:val="center"/>
                </w:tcPr>
                <w:p>
                  <w:pPr>
                    <w:adjustRightInd w:val="0"/>
                    <w:snapToGrid w:val="0"/>
                    <w:spacing w:line="240" w:lineRule="auto"/>
                    <w:jc w:val="center"/>
                    <w:rPr>
                      <w:rFonts w:eastAsia="宋体"/>
                      <w:sz w:val="21"/>
                      <w:szCs w:val="21"/>
                      <w:lang w:eastAsia="zh-TW"/>
                    </w:rPr>
                  </w:pPr>
                </w:p>
              </w:tc>
              <w:tc>
                <w:tcPr>
                  <w:tcW w:w="1943" w:type="pct"/>
                  <w:vAlign w:val="center"/>
                </w:tcPr>
                <w:p>
                  <w:pPr>
                    <w:adjustRightInd w:val="0"/>
                    <w:snapToGrid w:val="0"/>
                    <w:spacing w:line="240" w:lineRule="auto"/>
                    <w:jc w:val="center"/>
                    <w:rPr>
                      <w:rFonts w:eastAsia="宋体"/>
                      <w:sz w:val="21"/>
                      <w:szCs w:val="21"/>
                      <w:lang w:eastAsia="zh-TW"/>
                    </w:rPr>
                  </w:pPr>
                  <w:r>
                    <w:rPr>
                      <w:rFonts w:eastAsia="宋体"/>
                      <w:sz w:val="21"/>
                      <w:szCs w:val="21"/>
                      <w:lang w:eastAsia="zh-TW"/>
                    </w:rPr>
                    <w:t>环境影响分析预测评估的可靠性</w:t>
                  </w:r>
                </w:p>
              </w:tc>
              <w:tc>
                <w:tcPr>
                  <w:tcW w:w="2358" w:type="pct"/>
                  <w:vAlign w:val="center"/>
                </w:tcPr>
                <w:p>
                  <w:pPr>
                    <w:adjustRightInd w:val="0"/>
                    <w:snapToGrid w:val="0"/>
                    <w:spacing w:line="240" w:lineRule="auto"/>
                    <w:rPr>
                      <w:rFonts w:eastAsia="宋体"/>
                      <w:sz w:val="21"/>
                      <w:szCs w:val="21"/>
                      <w:lang w:eastAsia="zh-TW"/>
                    </w:rPr>
                  </w:pPr>
                  <w:r>
                    <w:rPr>
                      <w:rFonts w:eastAsia="宋体"/>
                      <w:sz w:val="21"/>
                      <w:szCs w:val="21"/>
                    </w:rPr>
                    <w:t>依据国家相关规范及建设项目的设计资料进行影响分析，符合环境影响分析预测评估的可靠性。</w:t>
                  </w:r>
                </w:p>
              </w:tc>
              <w:tc>
                <w:tcPr>
                  <w:tcW w:w="393" w:type="pct"/>
                  <w:vAlign w:val="center"/>
                </w:tcPr>
                <w:p>
                  <w:pPr>
                    <w:adjustRightInd w:val="0"/>
                    <w:snapToGrid w:val="0"/>
                    <w:spacing w:line="240" w:lineRule="auto"/>
                    <w:jc w:val="center"/>
                    <w:rPr>
                      <w:rFonts w:eastAsia="宋体"/>
                      <w:sz w:val="21"/>
                      <w:szCs w:val="21"/>
                    </w:rPr>
                  </w:pPr>
                  <w:r>
                    <w:rPr>
                      <w:rFonts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5" w:type="pct"/>
                  <w:vMerge w:val="continue"/>
                  <w:vAlign w:val="center"/>
                </w:tcPr>
                <w:p>
                  <w:pPr>
                    <w:adjustRightInd w:val="0"/>
                    <w:snapToGrid w:val="0"/>
                    <w:spacing w:line="240" w:lineRule="auto"/>
                    <w:jc w:val="center"/>
                    <w:rPr>
                      <w:rFonts w:eastAsia="宋体"/>
                      <w:sz w:val="21"/>
                      <w:szCs w:val="21"/>
                      <w:lang w:eastAsia="zh-TW"/>
                    </w:rPr>
                  </w:pPr>
                </w:p>
              </w:tc>
              <w:tc>
                <w:tcPr>
                  <w:tcW w:w="1943" w:type="pct"/>
                  <w:vAlign w:val="center"/>
                </w:tcPr>
                <w:p>
                  <w:pPr>
                    <w:adjustRightInd w:val="0"/>
                    <w:snapToGrid w:val="0"/>
                    <w:spacing w:line="240" w:lineRule="auto"/>
                    <w:jc w:val="center"/>
                    <w:rPr>
                      <w:rFonts w:eastAsia="宋体"/>
                      <w:sz w:val="21"/>
                      <w:szCs w:val="21"/>
                      <w:lang w:eastAsia="zh-TW"/>
                    </w:rPr>
                  </w:pPr>
                  <w:r>
                    <w:rPr>
                      <w:rFonts w:eastAsia="宋体"/>
                      <w:sz w:val="21"/>
                      <w:szCs w:val="21"/>
                      <w:lang w:eastAsia="zh-TW"/>
                    </w:rPr>
                    <w:t>环境保护措施的有效性</w:t>
                  </w:r>
                </w:p>
              </w:tc>
              <w:tc>
                <w:tcPr>
                  <w:tcW w:w="2358" w:type="pct"/>
                  <w:vAlign w:val="center"/>
                </w:tcPr>
                <w:p>
                  <w:pPr>
                    <w:adjustRightInd w:val="0"/>
                    <w:snapToGrid w:val="0"/>
                    <w:spacing w:line="240" w:lineRule="auto"/>
                    <w:rPr>
                      <w:rFonts w:eastAsia="宋体"/>
                      <w:sz w:val="21"/>
                      <w:szCs w:val="21"/>
                      <w:lang w:eastAsia="zh-TW"/>
                    </w:rPr>
                  </w:pPr>
                  <w:r>
                    <w:rPr>
                      <w:rFonts w:eastAsia="宋体"/>
                      <w:sz w:val="21"/>
                      <w:szCs w:val="21"/>
                      <w:lang w:eastAsia="zh-TW"/>
                    </w:rPr>
                    <w:t>本项目产生污染物均有较为成熟的技术进行处理，从技术上分析，只要切实落实本报告提出的污染防治措施，本项目废气、废水、噪声可做到达标排放，固废可实现零排放。</w:t>
                  </w:r>
                </w:p>
              </w:tc>
              <w:tc>
                <w:tcPr>
                  <w:tcW w:w="393" w:type="pct"/>
                  <w:vAlign w:val="center"/>
                </w:tcPr>
                <w:p>
                  <w:pPr>
                    <w:adjustRightInd w:val="0"/>
                    <w:snapToGrid w:val="0"/>
                    <w:spacing w:line="240" w:lineRule="auto"/>
                    <w:jc w:val="center"/>
                    <w:rPr>
                      <w:rFonts w:eastAsia="宋体"/>
                      <w:sz w:val="21"/>
                      <w:szCs w:val="21"/>
                      <w:lang w:eastAsia="zh-TW"/>
                    </w:rPr>
                  </w:pPr>
                  <w:r>
                    <w:rPr>
                      <w:rFonts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5" w:type="pct"/>
                  <w:vMerge w:val="continue"/>
                  <w:vAlign w:val="center"/>
                </w:tcPr>
                <w:p>
                  <w:pPr>
                    <w:adjustRightInd w:val="0"/>
                    <w:snapToGrid w:val="0"/>
                    <w:spacing w:line="240" w:lineRule="auto"/>
                    <w:jc w:val="center"/>
                    <w:rPr>
                      <w:rFonts w:eastAsia="宋体"/>
                      <w:sz w:val="21"/>
                      <w:szCs w:val="21"/>
                      <w:lang w:eastAsia="zh-TW"/>
                    </w:rPr>
                  </w:pPr>
                </w:p>
              </w:tc>
              <w:tc>
                <w:tcPr>
                  <w:tcW w:w="1943" w:type="pct"/>
                  <w:vAlign w:val="center"/>
                </w:tcPr>
                <w:p>
                  <w:pPr>
                    <w:adjustRightInd w:val="0"/>
                    <w:snapToGrid w:val="0"/>
                    <w:spacing w:line="240" w:lineRule="auto"/>
                    <w:jc w:val="center"/>
                    <w:rPr>
                      <w:rFonts w:eastAsia="宋体"/>
                      <w:sz w:val="21"/>
                      <w:szCs w:val="21"/>
                      <w:lang w:eastAsia="zh-TW"/>
                    </w:rPr>
                  </w:pPr>
                  <w:r>
                    <w:rPr>
                      <w:rFonts w:eastAsia="宋体"/>
                      <w:sz w:val="21"/>
                      <w:szCs w:val="21"/>
                      <w:lang w:eastAsia="zh-TW"/>
                    </w:rPr>
                    <w:t>环境影响评价结论的科学性</w:t>
                  </w:r>
                </w:p>
              </w:tc>
              <w:tc>
                <w:tcPr>
                  <w:tcW w:w="2358" w:type="pct"/>
                  <w:vAlign w:val="center"/>
                </w:tcPr>
                <w:p>
                  <w:pPr>
                    <w:adjustRightInd w:val="0"/>
                    <w:snapToGrid w:val="0"/>
                    <w:spacing w:line="240" w:lineRule="auto"/>
                    <w:rPr>
                      <w:rFonts w:eastAsia="宋体"/>
                      <w:sz w:val="21"/>
                      <w:szCs w:val="21"/>
                      <w:lang w:eastAsia="zh-TW"/>
                    </w:rPr>
                  </w:pPr>
                  <w:r>
                    <w:rPr>
                      <w:rFonts w:eastAsia="宋体"/>
                      <w:sz w:val="21"/>
                      <w:szCs w:val="21"/>
                      <w:lang w:eastAsia="zh-TW"/>
                    </w:rPr>
                    <w:t>本环评结论客观、过程公开、评价公正，并综合考虑建设项目实施后对各种环境因素可能造成的影响，环评结论是科学的。</w:t>
                  </w:r>
                </w:p>
              </w:tc>
              <w:tc>
                <w:tcPr>
                  <w:tcW w:w="393" w:type="pct"/>
                  <w:vAlign w:val="center"/>
                </w:tcPr>
                <w:p>
                  <w:pPr>
                    <w:adjustRightInd w:val="0"/>
                    <w:snapToGrid w:val="0"/>
                    <w:spacing w:line="240" w:lineRule="auto"/>
                    <w:jc w:val="center"/>
                    <w:rPr>
                      <w:rFonts w:eastAsia="宋体"/>
                      <w:sz w:val="21"/>
                      <w:szCs w:val="21"/>
                      <w:lang w:eastAsia="zh-TW"/>
                    </w:rPr>
                  </w:pPr>
                  <w:r>
                    <w:rPr>
                      <w:rFonts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5" w:type="pct"/>
                  <w:vMerge w:val="restart"/>
                  <w:vAlign w:val="center"/>
                </w:tcPr>
                <w:p>
                  <w:pPr>
                    <w:adjustRightInd w:val="0"/>
                    <w:snapToGrid w:val="0"/>
                    <w:spacing w:line="240" w:lineRule="auto"/>
                    <w:jc w:val="center"/>
                    <w:rPr>
                      <w:rFonts w:eastAsia="宋体"/>
                      <w:sz w:val="21"/>
                      <w:szCs w:val="21"/>
                    </w:rPr>
                  </w:pPr>
                  <w:r>
                    <w:rPr>
                      <w:rFonts w:eastAsia="宋体"/>
                      <w:sz w:val="21"/>
                      <w:szCs w:val="21"/>
                    </w:rPr>
                    <w:t>五</w:t>
                  </w:r>
                </w:p>
                <w:p>
                  <w:pPr>
                    <w:adjustRightInd w:val="0"/>
                    <w:snapToGrid w:val="0"/>
                    <w:spacing w:line="240" w:lineRule="auto"/>
                    <w:jc w:val="center"/>
                    <w:rPr>
                      <w:rFonts w:eastAsia="宋体"/>
                      <w:sz w:val="21"/>
                      <w:szCs w:val="21"/>
                    </w:rPr>
                  </w:pPr>
                  <w:r>
                    <w:rPr>
                      <w:rFonts w:eastAsia="宋体"/>
                      <w:sz w:val="21"/>
                      <w:szCs w:val="21"/>
                    </w:rPr>
                    <w:t>不</w:t>
                  </w:r>
                </w:p>
                <w:p>
                  <w:pPr>
                    <w:adjustRightInd w:val="0"/>
                    <w:snapToGrid w:val="0"/>
                    <w:spacing w:line="240" w:lineRule="auto"/>
                    <w:jc w:val="center"/>
                    <w:rPr>
                      <w:rFonts w:eastAsia="宋体"/>
                      <w:sz w:val="21"/>
                      <w:szCs w:val="21"/>
                    </w:rPr>
                  </w:pPr>
                  <w:r>
                    <w:rPr>
                      <w:rFonts w:eastAsia="宋体"/>
                      <w:sz w:val="21"/>
                      <w:szCs w:val="21"/>
                    </w:rPr>
                    <w:t>批</w:t>
                  </w:r>
                </w:p>
              </w:tc>
              <w:tc>
                <w:tcPr>
                  <w:tcW w:w="1943" w:type="pct"/>
                  <w:vAlign w:val="center"/>
                </w:tcPr>
                <w:p>
                  <w:pPr>
                    <w:adjustRightInd w:val="0"/>
                    <w:snapToGrid w:val="0"/>
                    <w:spacing w:line="240" w:lineRule="auto"/>
                    <w:jc w:val="center"/>
                    <w:rPr>
                      <w:rFonts w:eastAsia="宋体"/>
                      <w:sz w:val="21"/>
                      <w:szCs w:val="21"/>
                      <w:lang w:eastAsia="zh-TW"/>
                    </w:rPr>
                  </w:pPr>
                  <w:r>
                    <w:rPr>
                      <w:rFonts w:eastAsia="宋体"/>
                      <w:sz w:val="21"/>
                      <w:szCs w:val="21"/>
                      <w:lang w:eastAsia="zh-TW"/>
                    </w:rPr>
                    <w:t>（一）建设项目类型及其选址、布局、规模等不符合环境保护法律法规和相关法定规划</w:t>
                  </w:r>
                </w:p>
              </w:tc>
              <w:tc>
                <w:tcPr>
                  <w:tcW w:w="2358" w:type="pct"/>
                  <w:vAlign w:val="center"/>
                </w:tcPr>
                <w:p>
                  <w:pPr>
                    <w:adjustRightInd w:val="0"/>
                    <w:snapToGrid w:val="0"/>
                    <w:spacing w:line="240" w:lineRule="auto"/>
                    <w:rPr>
                      <w:rFonts w:eastAsia="宋体"/>
                      <w:sz w:val="21"/>
                      <w:szCs w:val="21"/>
                      <w:lang w:eastAsia="zh-TW"/>
                    </w:rPr>
                  </w:pPr>
                  <w:r>
                    <w:rPr>
                      <w:rFonts w:eastAsia="宋体"/>
                      <w:sz w:val="21"/>
                      <w:szCs w:val="21"/>
                      <w:lang w:eastAsia="zh-TW"/>
                    </w:rPr>
                    <w:t>本项目位于</w:t>
                  </w:r>
                  <w:r>
                    <w:rPr>
                      <w:rFonts w:hint="eastAsia" w:eastAsia="宋体"/>
                      <w:sz w:val="21"/>
                      <w:szCs w:val="21"/>
                    </w:rPr>
                    <w:t>临平区南苑街道</w:t>
                  </w:r>
                  <w:r>
                    <w:rPr>
                      <w:rFonts w:eastAsia="宋体"/>
                      <w:sz w:val="21"/>
                      <w:szCs w:val="21"/>
                    </w:rPr>
                    <w:t>，</w:t>
                  </w:r>
                  <w:r>
                    <w:rPr>
                      <w:rFonts w:hint="eastAsia" w:eastAsia="宋体"/>
                      <w:sz w:val="21"/>
                      <w:szCs w:val="21"/>
                    </w:rPr>
                    <w:t>东至新城路，西、北至联胜路，南至相邻地块。项目用地性质为中小学用地（A33）</w:t>
                  </w:r>
                  <w:r>
                    <w:rPr>
                      <w:rFonts w:eastAsia="宋体"/>
                      <w:sz w:val="21"/>
                      <w:szCs w:val="21"/>
                      <w:lang w:eastAsia="zh-TW"/>
                    </w:rPr>
                    <w:t>。</w:t>
                  </w:r>
                  <w:r>
                    <w:rPr>
                      <w:rFonts w:eastAsia="宋体"/>
                      <w:sz w:val="21"/>
                      <w:szCs w:val="21"/>
                    </w:rPr>
                    <w:t>项目类型及其选址、布局、规模等符合环境保护法律法规和相关法定规划。</w:t>
                  </w:r>
                </w:p>
              </w:tc>
              <w:tc>
                <w:tcPr>
                  <w:tcW w:w="393" w:type="pct"/>
                  <w:vAlign w:val="center"/>
                </w:tcPr>
                <w:p>
                  <w:pPr>
                    <w:adjustRightInd w:val="0"/>
                    <w:snapToGrid w:val="0"/>
                    <w:spacing w:line="240" w:lineRule="auto"/>
                    <w:jc w:val="center"/>
                    <w:rPr>
                      <w:rFonts w:eastAsia="宋体"/>
                      <w:sz w:val="21"/>
                      <w:szCs w:val="21"/>
                      <w:lang w:eastAsia="zh-TW"/>
                    </w:rPr>
                  </w:pPr>
                  <w:r>
                    <w:rPr>
                      <w:rFonts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5" w:type="pct"/>
                  <w:vMerge w:val="continue"/>
                  <w:vAlign w:val="center"/>
                </w:tcPr>
                <w:p>
                  <w:pPr>
                    <w:adjustRightInd w:val="0"/>
                    <w:snapToGrid w:val="0"/>
                    <w:spacing w:line="240" w:lineRule="auto"/>
                    <w:jc w:val="center"/>
                    <w:rPr>
                      <w:rFonts w:eastAsia="宋体"/>
                      <w:sz w:val="21"/>
                      <w:szCs w:val="21"/>
                      <w:lang w:eastAsia="zh-TW"/>
                    </w:rPr>
                  </w:pPr>
                </w:p>
              </w:tc>
              <w:tc>
                <w:tcPr>
                  <w:tcW w:w="1943" w:type="pct"/>
                  <w:vAlign w:val="center"/>
                </w:tcPr>
                <w:p>
                  <w:pPr>
                    <w:adjustRightInd w:val="0"/>
                    <w:snapToGrid w:val="0"/>
                    <w:spacing w:line="240" w:lineRule="auto"/>
                    <w:jc w:val="center"/>
                    <w:rPr>
                      <w:rFonts w:eastAsia="宋体"/>
                      <w:sz w:val="21"/>
                      <w:szCs w:val="21"/>
                    </w:rPr>
                  </w:pPr>
                  <w:r>
                    <w:rPr>
                      <w:rFonts w:eastAsia="宋体"/>
                      <w:sz w:val="21"/>
                      <w:szCs w:val="21"/>
                      <w:lang w:eastAsia="zh-TW"/>
                    </w:rPr>
                    <w:t>（二）所在区域环境质量未达到国家或者地方环境质量标准，且建设项目拟采取的措施不能满足区域环境质量改善目标管理要求</w:t>
                  </w:r>
                  <w:r>
                    <w:rPr>
                      <w:rFonts w:eastAsia="宋体"/>
                      <w:sz w:val="21"/>
                      <w:szCs w:val="21"/>
                    </w:rPr>
                    <w:t>。</w:t>
                  </w:r>
                </w:p>
              </w:tc>
              <w:tc>
                <w:tcPr>
                  <w:tcW w:w="2358" w:type="pct"/>
                  <w:vAlign w:val="center"/>
                </w:tcPr>
                <w:p>
                  <w:pPr>
                    <w:adjustRightInd w:val="0"/>
                    <w:snapToGrid w:val="0"/>
                    <w:spacing w:line="240" w:lineRule="auto"/>
                    <w:rPr>
                      <w:rFonts w:eastAsia="宋体"/>
                      <w:sz w:val="21"/>
                      <w:szCs w:val="21"/>
                      <w:lang w:eastAsia="zh-TW"/>
                    </w:rPr>
                  </w:pPr>
                  <w:r>
                    <w:rPr>
                      <w:rFonts w:eastAsia="宋体"/>
                      <w:sz w:val="21"/>
                      <w:szCs w:val="21"/>
                      <w:lang w:eastAsia="zh-TW"/>
                    </w:rPr>
                    <w:t>本项目营运过程中各类污染物经废气处理装置处理后均可得到有效控制并能做到达标排放</w:t>
                  </w:r>
                  <w:r>
                    <w:rPr>
                      <w:rFonts w:eastAsia="宋体"/>
                      <w:sz w:val="21"/>
                      <w:szCs w:val="21"/>
                    </w:rPr>
                    <w:t>，</w:t>
                  </w:r>
                  <w:r>
                    <w:rPr>
                      <w:rFonts w:eastAsia="宋体"/>
                      <w:sz w:val="21"/>
                      <w:szCs w:val="21"/>
                      <w:lang w:eastAsia="zh-TW"/>
                    </w:rPr>
                    <w:t>采取的措施能够满足区域环境质量改善目标管理要求，对当地环境质量影响不大。</w:t>
                  </w:r>
                </w:p>
              </w:tc>
              <w:tc>
                <w:tcPr>
                  <w:tcW w:w="393" w:type="pct"/>
                  <w:vAlign w:val="center"/>
                </w:tcPr>
                <w:p>
                  <w:pPr>
                    <w:adjustRightInd w:val="0"/>
                    <w:snapToGrid w:val="0"/>
                    <w:spacing w:line="240" w:lineRule="auto"/>
                    <w:jc w:val="center"/>
                    <w:rPr>
                      <w:rFonts w:eastAsia="宋体"/>
                      <w:sz w:val="21"/>
                      <w:szCs w:val="21"/>
                    </w:rPr>
                  </w:pPr>
                  <w:r>
                    <w:rPr>
                      <w:rFonts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5" w:type="pct"/>
                  <w:vMerge w:val="continue"/>
                  <w:vAlign w:val="center"/>
                </w:tcPr>
                <w:p>
                  <w:pPr>
                    <w:adjustRightInd w:val="0"/>
                    <w:snapToGrid w:val="0"/>
                    <w:spacing w:line="240" w:lineRule="auto"/>
                    <w:jc w:val="center"/>
                    <w:rPr>
                      <w:rFonts w:eastAsia="宋体"/>
                      <w:sz w:val="21"/>
                      <w:szCs w:val="21"/>
                      <w:lang w:eastAsia="zh-TW"/>
                    </w:rPr>
                  </w:pPr>
                </w:p>
              </w:tc>
              <w:tc>
                <w:tcPr>
                  <w:tcW w:w="1943" w:type="pct"/>
                  <w:vAlign w:val="center"/>
                </w:tcPr>
                <w:p>
                  <w:pPr>
                    <w:adjustRightInd w:val="0"/>
                    <w:snapToGrid w:val="0"/>
                    <w:spacing w:line="240" w:lineRule="auto"/>
                    <w:jc w:val="center"/>
                    <w:rPr>
                      <w:rFonts w:eastAsia="宋体"/>
                      <w:sz w:val="21"/>
                      <w:szCs w:val="21"/>
                      <w:lang w:eastAsia="zh-TW"/>
                    </w:rPr>
                  </w:pPr>
                  <w:r>
                    <w:rPr>
                      <w:rFonts w:eastAsia="宋体"/>
                      <w:sz w:val="21"/>
                      <w:szCs w:val="21"/>
                      <w:lang w:eastAsia="zh-TW"/>
                    </w:rPr>
                    <w:t>（三）建设项目采取的污染防治措施无法确保污染物排放达到国家和地方环境标准，或者未采取必要措施预防和控制生态破坏。</w:t>
                  </w:r>
                </w:p>
              </w:tc>
              <w:tc>
                <w:tcPr>
                  <w:tcW w:w="2358" w:type="pct"/>
                  <w:vAlign w:val="center"/>
                </w:tcPr>
                <w:p>
                  <w:pPr>
                    <w:adjustRightInd w:val="0"/>
                    <w:snapToGrid w:val="0"/>
                    <w:spacing w:line="240" w:lineRule="auto"/>
                    <w:rPr>
                      <w:rFonts w:eastAsia="宋体"/>
                      <w:sz w:val="21"/>
                      <w:szCs w:val="21"/>
                      <w:lang w:eastAsia="zh-TW"/>
                    </w:rPr>
                  </w:pPr>
                  <w:r>
                    <w:rPr>
                      <w:rFonts w:eastAsia="宋体"/>
                      <w:sz w:val="21"/>
                      <w:szCs w:val="21"/>
                      <w:lang w:eastAsia="zh-TW"/>
                    </w:rPr>
                    <w:t>项目营运过程中各类污染源均可得到有效控制并能做到达标排放，本环评提出了相应的污染防治措施，在落实污染防治措施后，不会对生态产生破坏。</w:t>
                  </w:r>
                </w:p>
              </w:tc>
              <w:tc>
                <w:tcPr>
                  <w:tcW w:w="393" w:type="pct"/>
                  <w:vAlign w:val="center"/>
                </w:tcPr>
                <w:p>
                  <w:pPr>
                    <w:adjustRightInd w:val="0"/>
                    <w:snapToGrid w:val="0"/>
                    <w:spacing w:line="240" w:lineRule="auto"/>
                    <w:jc w:val="center"/>
                    <w:rPr>
                      <w:rFonts w:eastAsia="宋体"/>
                      <w:sz w:val="21"/>
                      <w:szCs w:val="21"/>
                    </w:rPr>
                  </w:pPr>
                  <w:r>
                    <w:rPr>
                      <w:rFonts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5" w:type="pct"/>
                  <w:vMerge w:val="continue"/>
                  <w:vAlign w:val="center"/>
                </w:tcPr>
                <w:p>
                  <w:pPr>
                    <w:adjustRightInd w:val="0"/>
                    <w:snapToGrid w:val="0"/>
                    <w:spacing w:line="240" w:lineRule="auto"/>
                    <w:jc w:val="center"/>
                    <w:rPr>
                      <w:rFonts w:eastAsia="宋体"/>
                      <w:sz w:val="21"/>
                      <w:szCs w:val="21"/>
                      <w:lang w:eastAsia="zh-TW"/>
                    </w:rPr>
                  </w:pPr>
                </w:p>
              </w:tc>
              <w:tc>
                <w:tcPr>
                  <w:tcW w:w="1943" w:type="pct"/>
                  <w:vAlign w:val="center"/>
                </w:tcPr>
                <w:p>
                  <w:pPr>
                    <w:adjustRightInd w:val="0"/>
                    <w:snapToGrid w:val="0"/>
                    <w:spacing w:line="240" w:lineRule="auto"/>
                    <w:jc w:val="center"/>
                    <w:rPr>
                      <w:rFonts w:eastAsia="宋体"/>
                      <w:sz w:val="21"/>
                      <w:szCs w:val="21"/>
                      <w:lang w:eastAsia="zh-TW"/>
                    </w:rPr>
                  </w:pPr>
                  <w:r>
                    <w:rPr>
                      <w:rFonts w:eastAsia="宋体"/>
                      <w:sz w:val="21"/>
                      <w:szCs w:val="21"/>
                      <w:lang w:eastAsia="zh-TW"/>
                    </w:rPr>
                    <w:t>（四）改建、扩建和技术改造项目，未针对项目原有环境污染和生态破坏提出有效防治措施。</w:t>
                  </w:r>
                </w:p>
              </w:tc>
              <w:tc>
                <w:tcPr>
                  <w:tcW w:w="2358" w:type="pct"/>
                  <w:vAlign w:val="center"/>
                </w:tcPr>
                <w:p>
                  <w:pPr>
                    <w:adjustRightInd w:val="0"/>
                    <w:snapToGrid w:val="0"/>
                    <w:spacing w:line="240" w:lineRule="auto"/>
                    <w:rPr>
                      <w:rFonts w:eastAsia="宋体"/>
                      <w:sz w:val="21"/>
                      <w:szCs w:val="21"/>
                    </w:rPr>
                  </w:pPr>
                  <w:r>
                    <w:rPr>
                      <w:rFonts w:eastAsia="宋体"/>
                      <w:sz w:val="21"/>
                      <w:szCs w:val="21"/>
                      <w:lang w:eastAsia="zh-TW"/>
                    </w:rPr>
                    <w:t>本项目为新建项目</w:t>
                  </w:r>
                  <w:r>
                    <w:rPr>
                      <w:rFonts w:eastAsia="宋体"/>
                      <w:sz w:val="21"/>
                      <w:szCs w:val="21"/>
                    </w:rPr>
                    <w:t>。</w:t>
                  </w:r>
                </w:p>
              </w:tc>
              <w:tc>
                <w:tcPr>
                  <w:tcW w:w="393" w:type="pct"/>
                  <w:vAlign w:val="center"/>
                </w:tcPr>
                <w:p>
                  <w:pPr>
                    <w:adjustRightInd w:val="0"/>
                    <w:snapToGrid w:val="0"/>
                    <w:spacing w:line="240" w:lineRule="auto"/>
                    <w:jc w:val="center"/>
                    <w:rPr>
                      <w:rFonts w:eastAsia="宋体"/>
                      <w:sz w:val="21"/>
                      <w:szCs w:val="21"/>
                      <w:lang w:eastAsia="zh-TW"/>
                    </w:rPr>
                  </w:pPr>
                  <w:r>
                    <w:rPr>
                      <w:rFonts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5" w:type="pct"/>
                  <w:vMerge w:val="continue"/>
                  <w:vAlign w:val="center"/>
                </w:tcPr>
                <w:p>
                  <w:pPr>
                    <w:adjustRightInd w:val="0"/>
                    <w:snapToGrid w:val="0"/>
                    <w:spacing w:line="240" w:lineRule="auto"/>
                    <w:jc w:val="center"/>
                    <w:rPr>
                      <w:rFonts w:eastAsia="宋体"/>
                      <w:sz w:val="21"/>
                      <w:szCs w:val="21"/>
                      <w:lang w:eastAsia="zh-TW"/>
                    </w:rPr>
                  </w:pPr>
                </w:p>
              </w:tc>
              <w:tc>
                <w:tcPr>
                  <w:tcW w:w="1943" w:type="pct"/>
                  <w:vAlign w:val="center"/>
                </w:tcPr>
                <w:p>
                  <w:pPr>
                    <w:adjustRightInd w:val="0"/>
                    <w:snapToGrid w:val="0"/>
                    <w:spacing w:line="240" w:lineRule="auto"/>
                    <w:jc w:val="center"/>
                    <w:rPr>
                      <w:rFonts w:eastAsia="宋体"/>
                      <w:sz w:val="21"/>
                      <w:szCs w:val="21"/>
                      <w:lang w:eastAsia="zh-TW"/>
                    </w:rPr>
                  </w:pPr>
                  <w:r>
                    <w:rPr>
                      <w:rFonts w:eastAsia="宋体"/>
                      <w:sz w:val="21"/>
                      <w:szCs w:val="21"/>
                      <w:lang w:eastAsia="zh-TW"/>
                    </w:rPr>
                    <w:t>（五）建设项目的环境影响报告书、环境影响报告表的基础资料数据明显不实，内容存在重大缺陷</w:t>
                  </w:r>
                  <w:r>
                    <w:rPr>
                      <w:rFonts w:eastAsia="宋体"/>
                      <w:sz w:val="21"/>
                      <w:szCs w:val="21"/>
                    </w:rPr>
                    <w:t>、</w:t>
                  </w:r>
                  <w:r>
                    <w:rPr>
                      <w:rFonts w:eastAsia="宋体"/>
                      <w:sz w:val="21"/>
                      <w:szCs w:val="21"/>
                      <w:lang w:eastAsia="zh-TW"/>
                    </w:rPr>
                    <w:t>遗漏</w:t>
                  </w:r>
                  <w:r>
                    <w:rPr>
                      <w:rFonts w:eastAsia="宋体"/>
                      <w:sz w:val="21"/>
                      <w:szCs w:val="21"/>
                    </w:rPr>
                    <w:t>，</w:t>
                  </w:r>
                  <w:r>
                    <w:rPr>
                      <w:rFonts w:eastAsia="宋体"/>
                      <w:sz w:val="21"/>
                      <w:szCs w:val="21"/>
                      <w:lang w:eastAsia="zh-TW"/>
                    </w:rPr>
                    <w:t>或者环境影响评价结论不明确、不合理</w:t>
                  </w:r>
                </w:p>
              </w:tc>
              <w:tc>
                <w:tcPr>
                  <w:tcW w:w="2358" w:type="pct"/>
                  <w:vAlign w:val="center"/>
                </w:tcPr>
                <w:p>
                  <w:pPr>
                    <w:adjustRightInd w:val="0"/>
                    <w:snapToGrid w:val="0"/>
                    <w:spacing w:line="240" w:lineRule="auto"/>
                    <w:rPr>
                      <w:rFonts w:eastAsia="宋体"/>
                      <w:sz w:val="21"/>
                      <w:szCs w:val="21"/>
                    </w:rPr>
                  </w:pPr>
                  <w:r>
                    <w:rPr>
                      <w:rFonts w:eastAsia="宋体"/>
                      <w:sz w:val="21"/>
                      <w:szCs w:val="21"/>
                    </w:rPr>
                    <w:t>环评报告采用的基础资料数据均来自项目方实际建设申报内容。根据多次内部审核，不存在重大缺陷和遗漏。</w:t>
                  </w:r>
                </w:p>
              </w:tc>
              <w:tc>
                <w:tcPr>
                  <w:tcW w:w="393" w:type="pct"/>
                  <w:vAlign w:val="center"/>
                </w:tcPr>
                <w:p>
                  <w:pPr>
                    <w:adjustRightInd w:val="0"/>
                    <w:snapToGrid w:val="0"/>
                    <w:spacing w:line="240" w:lineRule="auto"/>
                    <w:jc w:val="center"/>
                    <w:rPr>
                      <w:rFonts w:eastAsia="宋体"/>
                      <w:sz w:val="21"/>
                      <w:szCs w:val="21"/>
                    </w:rPr>
                  </w:pPr>
                  <w:r>
                    <w:rPr>
                      <w:rFonts w:eastAsia="宋体"/>
                      <w:sz w:val="21"/>
                      <w:szCs w:val="21"/>
                    </w:rPr>
                    <w:t>/</w:t>
                  </w:r>
                </w:p>
              </w:tc>
            </w:tr>
          </w:tbl>
          <w:p>
            <w:pPr>
              <w:pStyle w:val="16"/>
              <w:ind w:firstLine="480" w:firstLineChars="200"/>
              <w:rPr>
                <w:rFonts w:ascii="Times New Roman" w:hAnsi="Times New Roman" w:cs="Times New Roman"/>
              </w:rPr>
            </w:pPr>
            <w:r>
              <w:rPr>
                <w:rFonts w:ascii="Times New Roman" w:hAnsi="Times New Roman" w:eastAsia="宋体" w:cs="Times New Roman"/>
              </w:rPr>
              <w:t>由上表可知，本项目的实施符合《建设项目环境保护管理条例》（国务院令第682号）“四性五不批”要求。</w:t>
            </w:r>
          </w:p>
          <w:p>
            <w:pPr>
              <w:pStyle w:val="16"/>
              <w:ind w:firstLine="482" w:firstLineChars="200"/>
            </w:pPr>
            <w:r>
              <w:rPr>
                <w:rFonts w:ascii="Times New Roman" w:hAnsi="Times New Roman" w:eastAsia="宋体" w:cs="Times New Roman"/>
                <w:b/>
              </w:rPr>
              <w:t>7、《&lt;长江经济带发展负面清单指南</w:t>
            </w:r>
            <w:r>
              <w:rPr>
                <w:rFonts w:hint="eastAsia" w:ascii="Times New Roman" w:hAnsi="Times New Roman" w:eastAsia="宋体" w:cs="Times New Roman"/>
                <w:b/>
              </w:rPr>
              <w:t>（</w:t>
            </w:r>
            <w:r>
              <w:rPr>
                <w:rFonts w:ascii="Times New Roman" w:hAnsi="Times New Roman" w:eastAsia="宋体" w:cs="Times New Roman"/>
                <w:b/>
              </w:rPr>
              <w:t>试行，2022年版</w:t>
            </w:r>
            <w:r>
              <w:rPr>
                <w:rFonts w:hint="eastAsia" w:ascii="Times New Roman" w:hAnsi="Times New Roman" w:eastAsia="宋体" w:cs="Times New Roman"/>
                <w:b/>
              </w:rPr>
              <w:t>）</w:t>
            </w:r>
            <w:r>
              <w:rPr>
                <w:rFonts w:ascii="Times New Roman" w:hAnsi="Times New Roman" w:eastAsia="宋体" w:cs="Times New Roman"/>
                <w:b/>
              </w:rPr>
              <w:t>&gt;浙江省实施细则》的符合性分析</w:t>
            </w:r>
          </w:p>
          <w:p>
            <w:pPr>
              <w:pStyle w:val="16"/>
              <w:ind w:firstLine="480" w:firstLineChars="200"/>
              <w:rPr>
                <w:rFonts w:ascii="Times New Roman" w:hAnsi="Times New Roman" w:eastAsia="宋体" w:cs="Times New Roman"/>
              </w:rPr>
            </w:pPr>
            <w:r>
              <w:rPr>
                <w:rFonts w:ascii="Times New Roman" w:hAnsi="Times New Roman" w:eastAsia="宋体" w:cs="Times New Roman"/>
              </w:rPr>
              <w:t>项目与《长江经济带发展负面清单指南（试行，2022年版）浙江省实施细则》中相关条目的符合性分析如下表所示。</w:t>
            </w:r>
          </w:p>
          <w:p>
            <w:pPr>
              <w:widowControl/>
              <w:tabs>
                <w:tab w:val="left" w:pos="-735"/>
              </w:tabs>
              <w:adjustRightInd w:val="0"/>
              <w:snapToGrid w:val="0"/>
              <w:spacing w:before="156" w:beforeLines="50" w:line="240" w:lineRule="atLeast"/>
              <w:jc w:val="center"/>
              <w:rPr>
                <w:rFonts w:eastAsia="宋体"/>
                <w:b/>
                <w:bCs/>
                <w:kern w:val="0"/>
                <w:sz w:val="21"/>
                <w:szCs w:val="21"/>
              </w:rPr>
            </w:pPr>
            <w:r>
              <w:rPr>
                <w:rFonts w:hint="eastAsia" w:eastAsia="宋体"/>
                <w:b/>
                <w:bCs/>
                <w:kern w:val="0"/>
                <w:sz w:val="21"/>
                <w:szCs w:val="21"/>
              </w:rPr>
              <w:t>表 1-6 《长江经济带发展负面清单指南（试行，2022年版）浙江省实施细则》符合性分析</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3690"/>
              <w:gridCol w:w="1395"/>
              <w:gridCol w:w="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adjustRightInd w:val="0"/>
                    <w:snapToGrid w:val="0"/>
                    <w:spacing w:line="240" w:lineRule="auto"/>
                    <w:jc w:val="center"/>
                    <w:rPr>
                      <w:rFonts w:eastAsia="宋体"/>
                      <w:sz w:val="21"/>
                      <w:szCs w:val="21"/>
                    </w:rPr>
                  </w:pPr>
                  <w:r>
                    <w:rPr>
                      <w:rFonts w:eastAsia="宋体"/>
                      <w:sz w:val="21"/>
                      <w:szCs w:val="21"/>
                    </w:rPr>
                    <w:t>序号</w:t>
                  </w:r>
                </w:p>
              </w:tc>
              <w:tc>
                <w:tcPr>
                  <w:tcW w:w="3690" w:type="dxa"/>
                  <w:vAlign w:val="center"/>
                </w:tcPr>
                <w:p>
                  <w:pPr>
                    <w:adjustRightInd w:val="0"/>
                    <w:snapToGrid w:val="0"/>
                    <w:spacing w:line="240" w:lineRule="auto"/>
                    <w:jc w:val="center"/>
                    <w:rPr>
                      <w:rFonts w:eastAsia="宋体"/>
                      <w:sz w:val="21"/>
                      <w:szCs w:val="21"/>
                    </w:rPr>
                  </w:pPr>
                  <w:r>
                    <w:rPr>
                      <w:rFonts w:eastAsia="宋体"/>
                      <w:sz w:val="21"/>
                      <w:szCs w:val="21"/>
                    </w:rPr>
                    <w:t>指南要求</w:t>
                  </w:r>
                </w:p>
              </w:tc>
              <w:tc>
                <w:tcPr>
                  <w:tcW w:w="1395" w:type="dxa"/>
                  <w:vAlign w:val="center"/>
                </w:tcPr>
                <w:p>
                  <w:pPr>
                    <w:adjustRightInd w:val="0"/>
                    <w:snapToGrid w:val="0"/>
                    <w:spacing w:line="240" w:lineRule="auto"/>
                    <w:jc w:val="center"/>
                    <w:rPr>
                      <w:rFonts w:eastAsia="宋体"/>
                      <w:sz w:val="21"/>
                      <w:szCs w:val="21"/>
                    </w:rPr>
                  </w:pPr>
                  <w:r>
                    <w:rPr>
                      <w:rFonts w:eastAsia="宋体"/>
                      <w:sz w:val="21"/>
                      <w:szCs w:val="21"/>
                    </w:rPr>
                    <w:t>本项目情况</w:t>
                  </w:r>
                </w:p>
              </w:tc>
              <w:tc>
                <w:tcPr>
                  <w:tcW w:w="778" w:type="dxa"/>
                  <w:vAlign w:val="center"/>
                </w:tcPr>
                <w:p>
                  <w:pPr>
                    <w:adjustRightInd w:val="0"/>
                    <w:snapToGrid w:val="0"/>
                    <w:spacing w:line="240" w:lineRule="auto"/>
                    <w:jc w:val="center"/>
                    <w:rPr>
                      <w:rFonts w:eastAsia="宋体"/>
                      <w:sz w:val="21"/>
                      <w:szCs w:val="21"/>
                    </w:rPr>
                  </w:pPr>
                  <w:r>
                    <w:rPr>
                      <w:rFonts w:eastAsia="宋体"/>
                      <w:sz w:val="21"/>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adjustRightInd w:val="0"/>
                    <w:snapToGrid w:val="0"/>
                    <w:spacing w:line="240" w:lineRule="auto"/>
                    <w:jc w:val="center"/>
                    <w:rPr>
                      <w:rFonts w:eastAsia="宋体"/>
                      <w:sz w:val="21"/>
                      <w:szCs w:val="21"/>
                    </w:rPr>
                  </w:pPr>
                  <w:r>
                    <w:rPr>
                      <w:rFonts w:eastAsia="宋体"/>
                      <w:sz w:val="21"/>
                      <w:szCs w:val="21"/>
                    </w:rPr>
                    <w:t>第十三条</w:t>
                  </w:r>
                </w:p>
              </w:tc>
              <w:tc>
                <w:tcPr>
                  <w:tcW w:w="3690" w:type="dxa"/>
                  <w:vAlign w:val="center"/>
                </w:tcPr>
                <w:p>
                  <w:pPr>
                    <w:adjustRightInd w:val="0"/>
                    <w:snapToGrid w:val="0"/>
                    <w:spacing w:line="240" w:lineRule="auto"/>
                    <w:jc w:val="center"/>
                    <w:rPr>
                      <w:rFonts w:eastAsia="宋体"/>
                      <w:sz w:val="21"/>
                      <w:szCs w:val="21"/>
                    </w:rPr>
                  </w:pPr>
                  <w:r>
                    <w:rPr>
                      <w:rFonts w:eastAsia="宋体"/>
                      <w:sz w:val="21"/>
                      <w:szCs w:val="21"/>
                    </w:rPr>
                    <w:t>禁止在长江支流、太湖等重要岸线一公里范围内新建、扩建化工园区和化工项目。</w:t>
                  </w:r>
                </w:p>
              </w:tc>
              <w:tc>
                <w:tcPr>
                  <w:tcW w:w="1395" w:type="dxa"/>
                  <w:vAlign w:val="center"/>
                </w:tcPr>
                <w:p>
                  <w:pPr>
                    <w:adjustRightInd w:val="0"/>
                    <w:snapToGrid w:val="0"/>
                    <w:spacing w:line="240" w:lineRule="auto"/>
                    <w:jc w:val="center"/>
                    <w:rPr>
                      <w:rFonts w:eastAsia="宋体"/>
                      <w:sz w:val="21"/>
                      <w:szCs w:val="21"/>
                    </w:rPr>
                  </w:pPr>
                  <w:r>
                    <w:rPr>
                      <w:rFonts w:eastAsia="宋体"/>
                      <w:sz w:val="21"/>
                      <w:szCs w:val="21"/>
                    </w:rPr>
                    <w:t>本项目</w:t>
                  </w:r>
                  <w:r>
                    <w:rPr>
                      <w:rFonts w:hint="eastAsia" w:eastAsia="宋体"/>
                      <w:sz w:val="21"/>
                      <w:szCs w:val="21"/>
                    </w:rPr>
                    <w:t>为学校建设，</w:t>
                  </w:r>
                  <w:r>
                    <w:rPr>
                      <w:rFonts w:eastAsia="宋体"/>
                      <w:sz w:val="21"/>
                      <w:szCs w:val="21"/>
                    </w:rPr>
                    <w:t>不属于化工项目</w:t>
                  </w:r>
                </w:p>
              </w:tc>
              <w:tc>
                <w:tcPr>
                  <w:tcW w:w="778" w:type="dxa"/>
                  <w:vAlign w:val="center"/>
                </w:tcPr>
                <w:p>
                  <w:pPr>
                    <w:adjustRightInd w:val="0"/>
                    <w:snapToGrid w:val="0"/>
                    <w:spacing w:line="240" w:lineRule="auto"/>
                    <w:jc w:val="center"/>
                    <w:rPr>
                      <w:rFonts w:eastAsia="宋体"/>
                      <w:sz w:val="21"/>
                      <w:szCs w:val="21"/>
                    </w:rPr>
                  </w:pPr>
                  <w:r>
                    <w:rPr>
                      <w:rFonts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adjustRightInd w:val="0"/>
                    <w:snapToGrid w:val="0"/>
                    <w:spacing w:line="240" w:lineRule="auto"/>
                    <w:jc w:val="center"/>
                    <w:rPr>
                      <w:rFonts w:eastAsia="宋体"/>
                      <w:sz w:val="21"/>
                      <w:szCs w:val="21"/>
                    </w:rPr>
                  </w:pPr>
                  <w:r>
                    <w:rPr>
                      <w:rFonts w:eastAsia="宋体"/>
                      <w:sz w:val="21"/>
                      <w:szCs w:val="21"/>
                    </w:rPr>
                    <w:t>第十四条</w:t>
                  </w:r>
                </w:p>
              </w:tc>
              <w:tc>
                <w:tcPr>
                  <w:tcW w:w="3690" w:type="dxa"/>
                  <w:vAlign w:val="center"/>
                </w:tcPr>
                <w:p>
                  <w:pPr>
                    <w:adjustRightInd w:val="0"/>
                    <w:snapToGrid w:val="0"/>
                    <w:spacing w:line="240" w:lineRule="auto"/>
                    <w:jc w:val="center"/>
                    <w:rPr>
                      <w:rFonts w:eastAsia="宋体"/>
                      <w:sz w:val="21"/>
                      <w:szCs w:val="21"/>
                    </w:rPr>
                  </w:pPr>
                  <w:r>
                    <w:rPr>
                      <w:rFonts w:eastAsia="宋体"/>
                      <w:sz w:val="21"/>
                      <w:szCs w:val="21"/>
                    </w:rPr>
                    <w:t>禁止在长江重要支流岸线一公里范围内新建、改建、扩建尾矿库、冶炼渣库和磷石膏库，以提升安全、生态环境保护水平为目的的改扩建除外</w:t>
                  </w:r>
                </w:p>
              </w:tc>
              <w:tc>
                <w:tcPr>
                  <w:tcW w:w="1395" w:type="dxa"/>
                  <w:vAlign w:val="center"/>
                </w:tcPr>
                <w:p>
                  <w:pPr>
                    <w:adjustRightInd w:val="0"/>
                    <w:snapToGrid w:val="0"/>
                    <w:spacing w:line="240" w:lineRule="auto"/>
                    <w:jc w:val="center"/>
                    <w:rPr>
                      <w:rFonts w:eastAsia="宋体"/>
                      <w:sz w:val="21"/>
                      <w:szCs w:val="21"/>
                    </w:rPr>
                  </w:pPr>
                  <w:r>
                    <w:rPr>
                      <w:rFonts w:eastAsia="宋体"/>
                      <w:sz w:val="21"/>
                      <w:szCs w:val="21"/>
                    </w:rPr>
                    <w:t>本项目</w:t>
                  </w:r>
                  <w:r>
                    <w:rPr>
                      <w:rFonts w:hint="eastAsia" w:eastAsia="宋体"/>
                      <w:sz w:val="21"/>
                      <w:szCs w:val="21"/>
                    </w:rPr>
                    <w:t>为学校建设，</w:t>
                  </w:r>
                  <w:r>
                    <w:rPr>
                      <w:rFonts w:eastAsia="宋体"/>
                      <w:sz w:val="21"/>
                      <w:szCs w:val="21"/>
                    </w:rPr>
                    <w:t>不涉及尾矿库、冶炼渣库及磷石膏库</w:t>
                  </w:r>
                </w:p>
              </w:tc>
              <w:tc>
                <w:tcPr>
                  <w:tcW w:w="778" w:type="dxa"/>
                  <w:vAlign w:val="center"/>
                </w:tcPr>
                <w:p>
                  <w:pPr>
                    <w:adjustRightInd w:val="0"/>
                    <w:snapToGrid w:val="0"/>
                    <w:spacing w:line="240" w:lineRule="auto"/>
                    <w:jc w:val="center"/>
                    <w:rPr>
                      <w:rFonts w:eastAsia="宋体"/>
                      <w:sz w:val="21"/>
                      <w:szCs w:val="21"/>
                    </w:rPr>
                  </w:pPr>
                  <w:r>
                    <w:rPr>
                      <w:rFonts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adjustRightInd w:val="0"/>
                    <w:snapToGrid w:val="0"/>
                    <w:spacing w:line="240" w:lineRule="auto"/>
                    <w:jc w:val="center"/>
                    <w:rPr>
                      <w:rFonts w:eastAsia="宋体"/>
                      <w:sz w:val="21"/>
                      <w:szCs w:val="21"/>
                    </w:rPr>
                  </w:pPr>
                  <w:r>
                    <w:rPr>
                      <w:rFonts w:eastAsia="宋体"/>
                      <w:sz w:val="21"/>
                      <w:szCs w:val="21"/>
                    </w:rPr>
                    <w:t>第十五条</w:t>
                  </w:r>
                </w:p>
              </w:tc>
              <w:tc>
                <w:tcPr>
                  <w:tcW w:w="3690" w:type="dxa"/>
                  <w:vAlign w:val="center"/>
                </w:tcPr>
                <w:p>
                  <w:pPr>
                    <w:adjustRightInd w:val="0"/>
                    <w:snapToGrid w:val="0"/>
                    <w:spacing w:line="240" w:lineRule="auto"/>
                    <w:jc w:val="center"/>
                    <w:rPr>
                      <w:rFonts w:eastAsia="宋体"/>
                      <w:sz w:val="21"/>
                      <w:szCs w:val="21"/>
                    </w:rPr>
                  </w:pPr>
                  <w:r>
                    <w:rPr>
                      <w:rFonts w:eastAsia="宋体"/>
                      <w:sz w:val="21"/>
                      <w:szCs w:val="21"/>
                    </w:rPr>
                    <w:t>禁止在合规园区外新建、扩建钢铁、石化、化工、焦化、建材、有色、制浆造纸等高污染项目。高污染项目清单参照生态环境部《环境保护综合目录》中的高污染产品目录执行。</w:t>
                  </w:r>
                </w:p>
              </w:tc>
              <w:tc>
                <w:tcPr>
                  <w:tcW w:w="1395" w:type="dxa"/>
                  <w:vAlign w:val="center"/>
                </w:tcPr>
                <w:p>
                  <w:pPr>
                    <w:adjustRightInd w:val="0"/>
                    <w:snapToGrid w:val="0"/>
                    <w:spacing w:line="240" w:lineRule="auto"/>
                    <w:jc w:val="center"/>
                    <w:rPr>
                      <w:rFonts w:eastAsia="宋体"/>
                      <w:sz w:val="21"/>
                      <w:szCs w:val="21"/>
                    </w:rPr>
                  </w:pPr>
                  <w:r>
                    <w:rPr>
                      <w:rFonts w:eastAsia="宋体"/>
                      <w:sz w:val="21"/>
                      <w:szCs w:val="21"/>
                    </w:rPr>
                    <w:t>本项目</w:t>
                  </w:r>
                  <w:r>
                    <w:rPr>
                      <w:rFonts w:hint="eastAsia" w:eastAsia="宋体"/>
                      <w:sz w:val="21"/>
                      <w:szCs w:val="21"/>
                    </w:rPr>
                    <w:t>为学校建设，</w:t>
                  </w:r>
                  <w:r>
                    <w:rPr>
                      <w:rFonts w:eastAsia="宋体"/>
                      <w:sz w:val="21"/>
                      <w:szCs w:val="21"/>
                    </w:rPr>
                    <w:t>不属于高污染项目</w:t>
                  </w:r>
                </w:p>
              </w:tc>
              <w:tc>
                <w:tcPr>
                  <w:tcW w:w="778" w:type="dxa"/>
                  <w:vAlign w:val="center"/>
                </w:tcPr>
                <w:p>
                  <w:pPr>
                    <w:adjustRightInd w:val="0"/>
                    <w:snapToGrid w:val="0"/>
                    <w:spacing w:line="240" w:lineRule="auto"/>
                    <w:jc w:val="center"/>
                    <w:rPr>
                      <w:rFonts w:eastAsia="宋体"/>
                      <w:sz w:val="21"/>
                      <w:szCs w:val="21"/>
                    </w:rPr>
                  </w:pPr>
                  <w:r>
                    <w:rPr>
                      <w:rFonts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adjustRightInd w:val="0"/>
                    <w:snapToGrid w:val="0"/>
                    <w:spacing w:line="240" w:lineRule="auto"/>
                    <w:jc w:val="center"/>
                    <w:rPr>
                      <w:rFonts w:eastAsia="宋体"/>
                      <w:sz w:val="21"/>
                      <w:szCs w:val="21"/>
                    </w:rPr>
                  </w:pPr>
                  <w:r>
                    <w:rPr>
                      <w:rFonts w:eastAsia="宋体"/>
                      <w:sz w:val="21"/>
                      <w:szCs w:val="21"/>
                    </w:rPr>
                    <w:t>第十六条</w:t>
                  </w:r>
                </w:p>
              </w:tc>
              <w:tc>
                <w:tcPr>
                  <w:tcW w:w="3690" w:type="dxa"/>
                  <w:vAlign w:val="center"/>
                </w:tcPr>
                <w:p>
                  <w:pPr>
                    <w:adjustRightInd w:val="0"/>
                    <w:snapToGrid w:val="0"/>
                    <w:spacing w:line="240" w:lineRule="auto"/>
                    <w:jc w:val="center"/>
                    <w:rPr>
                      <w:rFonts w:eastAsia="宋体"/>
                      <w:sz w:val="21"/>
                      <w:szCs w:val="21"/>
                    </w:rPr>
                  </w:pPr>
                  <w:r>
                    <w:rPr>
                      <w:rFonts w:eastAsia="宋体"/>
                      <w:sz w:val="21"/>
                      <w:szCs w:val="21"/>
                    </w:rPr>
                    <w:t>禁止新建、扩建不符合国家石化、现代煤化工等产业布局规划的项目。</w:t>
                  </w:r>
                </w:p>
              </w:tc>
              <w:tc>
                <w:tcPr>
                  <w:tcW w:w="1395" w:type="dxa"/>
                  <w:vAlign w:val="center"/>
                </w:tcPr>
                <w:p>
                  <w:pPr>
                    <w:adjustRightInd w:val="0"/>
                    <w:snapToGrid w:val="0"/>
                    <w:spacing w:line="240" w:lineRule="auto"/>
                    <w:jc w:val="center"/>
                    <w:rPr>
                      <w:rFonts w:eastAsia="宋体"/>
                      <w:sz w:val="21"/>
                      <w:szCs w:val="21"/>
                    </w:rPr>
                  </w:pPr>
                  <w:r>
                    <w:rPr>
                      <w:rFonts w:eastAsia="宋体"/>
                      <w:sz w:val="21"/>
                      <w:szCs w:val="21"/>
                    </w:rPr>
                    <w:t>本项目</w:t>
                  </w:r>
                  <w:r>
                    <w:rPr>
                      <w:rFonts w:hint="eastAsia" w:eastAsia="宋体"/>
                      <w:sz w:val="21"/>
                      <w:szCs w:val="21"/>
                    </w:rPr>
                    <w:t>为学校建设，</w:t>
                  </w:r>
                  <w:r>
                    <w:rPr>
                      <w:rFonts w:eastAsia="宋体"/>
                      <w:sz w:val="21"/>
                      <w:szCs w:val="21"/>
                    </w:rPr>
                    <w:t>不属于石化、现代煤化工项目</w:t>
                  </w:r>
                </w:p>
              </w:tc>
              <w:tc>
                <w:tcPr>
                  <w:tcW w:w="778" w:type="dxa"/>
                  <w:vAlign w:val="center"/>
                </w:tcPr>
                <w:p>
                  <w:pPr>
                    <w:adjustRightInd w:val="0"/>
                    <w:snapToGrid w:val="0"/>
                    <w:spacing w:line="240" w:lineRule="auto"/>
                    <w:jc w:val="center"/>
                    <w:rPr>
                      <w:rFonts w:eastAsia="宋体"/>
                      <w:sz w:val="21"/>
                      <w:szCs w:val="21"/>
                    </w:rPr>
                  </w:pPr>
                  <w:r>
                    <w:rPr>
                      <w:rFonts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adjustRightInd w:val="0"/>
                    <w:snapToGrid w:val="0"/>
                    <w:spacing w:line="240" w:lineRule="auto"/>
                    <w:jc w:val="center"/>
                    <w:rPr>
                      <w:rFonts w:eastAsia="宋体"/>
                      <w:sz w:val="21"/>
                      <w:szCs w:val="21"/>
                    </w:rPr>
                  </w:pPr>
                  <w:r>
                    <w:rPr>
                      <w:rFonts w:eastAsia="宋体"/>
                      <w:sz w:val="21"/>
                      <w:szCs w:val="21"/>
                    </w:rPr>
                    <w:t>第十七条</w:t>
                  </w:r>
                </w:p>
              </w:tc>
              <w:tc>
                <w:tcPr>
                  <w:tcW w:w="3690" w:type="dxa"/>
                  <w:vAlign w:val="center"/>
                </w:tcPr>
                <w:p>
                  <w:pPr>
                    <w:adjustRightInd w:val="0"/>
                    <w:snapToGrid w:val="0"/>
                    <w:spacing w:line="240" w:lineRule="auto"/>
                    <w:jc w:val="center"/>
                    <w:rPr>
                      <w:rFonts w:eastAsia="宋体"/>
                      <w:sz w:val="21"/>
                      <w:szCs w:val="21"/>
                    </w:rPr>
                  </w:pPr>
                  <w:r>
                    <w:rPr>
                      <w:rFonts w:eastAsia="宋体"/>
                      <w:sz w:val="21"/>
                      <w:szCs w:val="21"/>
                    </w:rPr>
                    <w:t>禁止新建、扩建法律法规和相关政策明令禁止的落后产能项目，对列入《产业结构调整指导目录》淘汰类中的落后生产工艺装备、落后产品投资项目，列入《外商投资准入特别管理措施（负面清单）》的外商投资项目，一律不得核准、备案。禁止向落后产能项目和严重过剩产能行业项目供应土地。</w:t>
                  </w:r>
                </w:p>
              </w:tc>
              <w:tc>
                <w:tcPr>
                  <w:tcW w:w="1395" w:type="dxa"/>
                  <w:vAlign w:val="center"/>
                </w:tcPr>
                <w:p>
                  <w:pPr>
                    <w:adjustRightInd w:val="0"/>
                    <w:snapToGrid w:val="0"/>
                    <w:spacing w:line="240" w:lineRule="auto"/>
                    <w:jc w:val="center"/>
                    <w:rPr>
                      <w:rFonts w:eastAsia="宋体"/>
                      <w:sz w:val="21"/>
                      <w:szCs w:val="21"/>
                    </w:rPr>
                  </w:pPr>
                  <w:r>
                    <w:rPr>
                      <w:rFonts w:eastAsia="宋体"/>
                      <w:sz w:val="21"/>
                      <w:szCs w:val="21"/>
                    </w:rPr>
                    <w:t>本项目</w:t>
                  </w:r>
                  <w:r>
                    <w:rPr>
                      <w:rFonts w:hint="eastAsia" w:eastAsia="宋体"/>
                      <w:sz w:val="21"/>
                      <w:szCs w:val="21"/>
                    </w:rPr>
                    <w:t>为学校建设，</w:t>
                  </w:r>
                  <w:r>
                    <w:rPr>
                      <w:rFonts w:eastAsia="宋体"/>
                      <w:sz w:val="21"/>
                      <w:szCs w:val="21"/>
                    </w:rPr>
                    <w:t>不属于《产业结构调整指导目录》所列的淘汰类项目</w:t>
                  </w:r>
                </w:p>
              </w:tc>
              <w:tc>
                <w:tcPr>
                  <w:tcW w:w="778" w:type="dxa"/>
                  <w:vAlign w:val="center"/>
                </w:tcPr>
                <w:p>
                  <w:pPr>
                    <w:adjustRightInd w:val="0"/>
                    <w:snapToGrid w:val="0"/>
                    <w:spacing w:line="240" w:lineRule="auto"/>
                    <w:jc w:val="center"/>
                    <w:rPr>
                      <w:rFonts w:eastAsia="宋体"/>
                      <w:sz w:val="21"/>
                      <w:szCs w:val="21"/>
                    </w:rPr>
                  </w:pPr>
                  <w:r>
                    <w:rPr>
                      <w:rFonts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adjustRightInd w:val="0"/>
                    <w:snapToGrid w:val="0"/>
                    <w:spacing w:line="240" w:lineRule="auto"/>
                    <w:jc w:val="center"/>
                    <w:rPr>
                      <w:rFonts w:eastAsia="宋体"/>
                      <w:sz w:val="21"/>
                      <w:szCs w:val="21"/>
                    </w:rPr>
                  </w:pPr>
                  <w:r>
                    <w:rPr>
                      <w:rFonts w:eastAsia="宋体"/>
                      <w:sz w:val="21"/>
                      <w:szCs w:val="21"/>
                    </w:rPr>
                    <w:t>第十八条</w:t>
                  </w:r>
                </w:p>
              </w:tc>
              <w:tc>
                <w:tcPr>
                  <w:tcW w:w="3690" w:type="dxa"/>
                  <w:vAlign w:val="center"/>
                </w:tcPr>
                <w:p>
                  <w:pPr>
                    <w:adjustRightInd w:val="0"/>
                    <w:snapToGrid w:val="0"/>
                    <w:spacing w:line="240" w:lineRule="auto"/>
                    <w:jc w:val="center"/>
                    <w:rPr>
                      <w:rFonts w:eastAsia="宋体"/>
                      <w:sz w:val="21"/>
                      <w:szCs w:val="21"/>
                    </w:rPr>
                  </w:pPr>
                  <w:r>
                    <w:rPr>
                      <w:rFonts w:eastAsia="宋体"/>
                      <w:sz w:val="21"/>
                      <w:szCs w:val="21"/>
                    </w:rPr>
                    <w:t>禁止新建、扩建不符合国家产能置换要求的严重过剩产能行业的项目。部门、机构禁止办理相关的土地（海域）供应、能评、环评审批和新增授信支持等业务。</w:t>
                  </w:r>
                </w:p>
              </w:tc>
              <w:tc>
                <w:tcPr>
                  <w:tcW w:w="1395" w:type="dxa"/>
                  <w:vAlign w:val="center"/>
                </w:tcPr>
                <w:p>
                  <w:pPr>
                    <w:adjustRightInd w:val="0"/>
                    <w:snapToGrid w:val="0"/>
                    <w:spacing w:line="240" w:lineRule="auto"/>
                    <w:jc w:val="center"/>
                    <w:rPr>
                      <w:rFonts w:eastAsia="宋体"/>
                      <w:sz w:val="21"/>
                      <w:szCs w:val="21"/>
                    </w:rPr>
                  </w:pPr>
                  <w:r>
                    <w:rPr>
                      <w:rFonts w:eastAsia="宋体"/>
                      <w:sz w:val="21"/>
                      <w:szCs w:val="21"/>
                    </w:rPr>
                    <w:t>本项目</w:t>
                  </w:r>
                  <w:r>
                    <w:rPr>
                      <w:rFonts w:hint="eastAsia" w:eastAsia="宋体"/>
                      <w:sz w:val="21"/>
                      <w:szCs w:val="21"/>
                    </w:rPr>
                    <w:t>为学校建设，</w:t>
                  </w:r>
                  <w:r>
                    <w:rPr>
                      <w:rFonts w:eastAsia="宋体"/>
                      <w:sz w:val="21"/>
                      <w:szCs w:val="21"/>
                    </w:rPr>
                    <w:t>不属于产能过剩项目</w:t>
                  </w:r>
                </w:p>
              </w:tc>
              <w:tc>
                <w:tcPr>
                  <w:tcW w:w="778" w:type="dxa"/>
                  <w:vAlign w:val="center"/>
                </w:tcPr>
                <w:p>
                  <w:pPr>
                    <w:adjustRightInd w:val="0"/>
                    <w:snapToGrid w:val="0"/>
                    <w:spacing w:line="240" w:lineRule="auto"/>
                    <w:jc w:val="center"/>
                    <w:rPr>
                      <w:rFonts w:eastAsia="宋体"/>
                      <w:sz w:val="21"/>
                      <w:szCs w:val="21"/>
                    </w:rPr>
                  </w:pPr>
                  <w:r>
                    <w:rPr>
                      <w:rFonts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adjustRightInd w:val="0"/>
                    <w:snapToGrid w:val="0"/>
                    <w:spacing w:line="240" w:lineRule="auto"/>
                    <w:jc w:val="center"/>
                    <w:rPr>
                      <w:rFonts w:eastAsia="宋体"/>
                      <w:sz w:val="21"/>
                      <w:szCs w:val="21"/>
                    </w:rPr>
                  </w:pPr>
                  <w:r>
                    <w:rPr>
                      <w:rFonts w:eastAsia="宋体"/>
                      <w:sz w:val="21"/>
                      <w:szCs w:val="21"/>
                    </w:rPr>
                    <w:t>第十九条</w:t>
                  </w:r>
                </w:p>
              </w:tc>
              <w:tc>
                <w:tcPr>
                  <w:tcW w:w="3690" w:type="dxa"/>
                  <w:vAlign w:val="center"/>
                </w:tcPr>
                <w:p>
                  <w:pPr>
                    <w:adjustRightInd w:val="0"/>
                    <w:snapToGrid w:val="0"/>
                    <w:spacing w:line="240" w:lineRule="auto"/>
                    <w:jc w:val="center"/>
                    <w:rPr>
                      <w:rFonts w:eastAsia="宋体"/>
                      <w:sz w:val="21"/>
                      <w:szCs w:val="21"/>
                    </w:rPr>
                  </w:pPr>
                  <w:r>
                    <w:rPr>
                      <w:rFonts w:eastAsia="宋体"/>
                      <w:sz w:val="21"/>
                      <w:szCs w:val="21"/>
                    </w:rPr>
                    <w:t>禁止新建、扩建不符合要求的高耗能高排放项目。</w:t>
                  </w:r>
                </w:p>
              </w:tc>
              <w:tc>
                <w:tcPr>
                  <w:tcW w:w="1395" w:type="dxa"/>
                  <w:vAlign w:val="center"/>
                </w:tcPr>
                <w:p>
                  <w:pPr>
                    <w:adjustRightInd w:val="0"/>
                    <w:snapToGrid w:val="0"/>
                    <w:spacing w:line="240" w:lineRule="auto"/>
                    <w:jc w:val="center"/>
                    <w:rPr>
                      <w:rFonts w:eastAsia="宋体"/>
                      <w:sz w:val="21"/>
                      <w:szCs w:val="21"/>
                    </w:rPr>
                  </w:pPr>
                  <w:r>
                    <w:rPr>
                      <w:rFonts w:eastAsia="宋体"/>
                      <w:sz w:val="21"/>
                      <w:szCs w:val="21"/>
                    </w:rPr>
                    <w:t>本项目</w:t>
                  </w:r>
                  <w:r>
                    <w:rPr>
                      <w:rFonts w:hint="eastAsia" w:eastAsia="宋体"/>
                      <w:sz w:val="21"/>
                      <w:szCs w:val="21"/>
                    </w:rPr>
                    <w:t>为学校建设，</w:t>
                  </w:r>
                  <w:r>
                    <w:rPr>
                      <w:rFonts w:eastAsia="宋体"/>
                      <w:sz w:val="21"/>
                      <w:szCs w:val="21"/>
                    </w:rPr>
                    <w:t>不属于两高项目</w:t>
                  </w:r>
                </w:p>
              </w:tc>
              <w:tc>
                <w:tcPr>
                  <w:tcW w:w="778" w:type="dxa"/>
                  <w:vAlign w:val="center"/>
                </w:tcPr>
                <w:p>
                  <w:pPr>
                    <w:adjustRightInd w:val="0"/>
                    <w:snapToGrid w:val="0"/>
                    <w:spacing w:line="240" w:lineRule="auto"/>
                    <w:jc w:val="center"/>
                    <w:rPr>
                      <w:rFonts w:eastAsia="宋体"/>
                      <w:sz w:val="21"/>
                      <w:szCs w:val="21"/>
                    </w:rPr>
                  </w:pPr>
                  <w:r>
                    <w:rPr>
                      <w:rFonts w:eastAsia="宋体"/>
                      <w:sz w:val="21"/>
                      <w:szCs w:val="21"/>
                    </w:rPr>
                    <w:t>符合</w:t>
                  </w:r>
                </w:p>
              </w:tc>
            </w:tr>
          </w:tbl>
          <w:p>
            <w:pPr>
              <w:pStyle w:val="16"/>
              <w:ind w:firstLine="480" w:firstLineChars="200"/>
            </w:pPr>
            <w:r>
              <w:rPr>
                <w:rFonts w:hint="eastAsia" w:ascii="Times New Roman" w:hAnsi="Times New Roman" w:eastAsia="宋体" w:cs="Times New Roman"/>
              </w:rPr>
              <w:t>本项目位于杭州市临平区南苑街道，东至新城路，西、北至联胜路，南至相邻地块，周围无饮用水水源保护区、自然保护区等生态保护区。本项目不属于《产业结构调整指导目录（2019年本）》（2021年修订）淘汰类中的落后生产工艺装备、落后产品投资项目，不属于严重过剩产能行业以及高耗能高排放高污染项目。因此，本项目符合《&lt;长江经济带发展负面清单指南（试行，2022年版）&gt;浙江省实施细则》的要求。</w:t>
            </w:r>
          </w:p>
        </w:tc>
      </w:tr>
    </w:tbl>
    <w:p>
      <w:pPr>
        <w:pStyle w:val="16"/>
        <w:ind w:left="480"/>
        <w:rPr>
          <w:rFonts w:ascii="Times New Roman" w:hAnsi="Times New Roman" w:eastAsia="宋体" w:cs="Times New Roman"/>
        </w:rPr>
      </w:pPr>
    </w:p>
    <w:p>
      <w:pPr>
        <w:pStyle w:val="16"/>
        <w:ind w:left="480"/>
        <w:rPr>
          <w:rFonts w:ascii="Times New Roman" w:hAnsi="Times New Roman" w:eastAsia="宋体" w:cs="Times New Roman"/>
        </w:rPr>
        <w:sectPr>
          <w:footerReference r:id="rId6" w:type="default"/>
          <w:pgSz w:w="11906" w:h="16838"/>
          <w:pgMar w:top="1440" w:right="1800" w:bottom="1440" w:left="1800" w:header="851" w:footer="992" w:gutter="0"/>
          <w:pgNumType w:fmt="decimal" w:start="1"/>
          <w:cols w:space="425" w:num="1"/>
          <w:docGrid w:type="lines" w:linePitch="312" w:charSpace="0"/>
        </w:sectPr>
      </w:pPr>
    </w:p>
    <w:p>
      <w:pPr>
        <w:pStyle w:val="16"/>
        <w:numPr>
          <w:ilvl w:val="0"/>
          <w:numId w:val="5"/>
        </w:numPr>
        <w:ind w:left="482" w:hanging="482"/>
        <w:jc w:val="center"/>
        <w:outlineLvl w:val="0"/>
        <w:rPr>
          <w:rFonts w:ascii="Times New Roman" w:hAnsi="Times New Roman" w:eastAsia="宋体" w:cs="Times New Roman"/>
          <w:b/>
        </w:rPr>
      </w:pPr>
      <w:bookmarkStart w:id="3" w:name="_Toc140406078"/>
      <w:r>
        <w:rPr>
          <w:rFonts w:hint="eastAsia" w:ascii="Times New Roman" w:hAnsi="Times New Roman" w:eastAsia="宋体" w:cs="Times New Roman"/>
          <w:b/>
        </w:rPr>
        <w:t>建设项目工程分析</w:t>
      </w:r>
      <w:bookmarkEnd w:id="3"/>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7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16"/>
              <w:spacing w:line="240" w:lineRule="auto"/>
              <w:jc w:val="center"/>
              <w:rPr>
                <w:rFonts w:ascii="Times New Roman" w:hAnsi="Times New Roman" w:eastAsia="宋体" w:cs="Times New Roman"/>
              </w:rPr>
            </w:pPr>
            <w:r>
              <w:rPr>
                <w:rFonts w:hint="eastAsia" w:ascii="Times New Roman" w:hAnsi="Times New Roman" w:eastAsia="宋体" w:cs="Times New Roman"/>
              </w:rPr>
              <w:t>建设内容</w:t>
            </w:r>
          </w:p>
        </w:tc>
        <w:tc>
          <w:tcPr>
            <w:tcW w:w="7734" w:type="dxa"/>
          </w:tcPr>
          <w:p>
            <w:pPr>
              <w:pStyle w:val="7"/>
              <w:adjustRightInd w:val="0"/>
              <w:snapToGrid w:val="0"/>
              <w:ind w:firstLine="0" w:firstLineChars="0"/>
              <w:jc w:val="left"/>
              <w:rPr>
                <w:b/>
                <w:bCs/>
                <w:sz w:val="24"/>
                <w:szCs w:val="24"/>
              </w:rPr>
            </w:pPr>
            <w:r>
              <w:rPr>
                <w:b/>
                <w:bCs/>
                <w:sz w:val="24"/>
                <w:szCs w:val="24"/>
              </w:rPr>
              <w:t>1、项目概况</w:t>
            </w:r>
          </w:p>
          <w:p>
            <w:pPr>
              <w:pStyle w:val="7"/>
              <w:adjustRightInd w:val="0"/>
              <w:snapToGrid w:val="0"/>
              <w:ind w:firstLine="480"/>
              <w:rPr>
                <w:sz w:val="24"/>
                <w:szCs w:val="24"/>
              </w:rPr>
            </w:pPr>
            <w:r>
              <w:rPr>
                <w:rFonts w:hint="eastAsia" w:ascii="宋体" w:hAnsi="宋体" w:cs="宋体"/>
                <w:sz w:val="24"/>
                <w:szCs w:val="24"/>
              </w:rPr>
              <w:t>①</w:t>
            </w:r>
            <w:r>
              <w:rPr>
                <w:sz w:val="24"/>
                <w:szCs w:val="24"/>
              </w:rPr>
              <w:t>项目名称：</w:t>
            </w:r>
            <w:r>
              <w:rPr>
                <w:rFonts w:hint="eastAsia"/>
                <w:sz w:val="24"/>
                <w:szCs w:val="24"/>
              </w:rPr>
              <w:t>联胜九年一贯制学校项目</w:t>
            </w:r>
          </w:p>
          <w:p>
            <w:pPr>
              <w:pStyle w:val="7"/>
              <w:adjustRightInd w:val="0"/>
              <w:snapToGrid w:val="0"/>
              <w:ind w:firstLine="480"/>
              <w:rPr>
                <w:sz w:val="24"/>
                <w:szCs w:val="24"/>
              </w:rPr>
            </w:pPr>
            <w:r>
              <w:rPr>
                <w:rFonts w:hint="eastAsia" w:ascii="宋体" w:hAnsi="宋体" w:cs="宋体"/>
                <w:sz w:val="24"/>
                <w:szCs w:val="24"/>
              </w:rPr>
              <w:t>②</w:t>
            </w:r>
            <w:r>
              <w:rPr>
                <w:sz w:val="24"/>
                <w:szCs w:val="24"/>
              </w:rPr>
              <w:t>建设单位：</w:t>
            </w:r>
            <w:r>
              <w:rPr>
                <w:rFonts w:hint="eastAsia"/>
                <w:sz w:val="24"/>
                <w:szCs w:val="24"/>
              </w:rPr>
              <w:t>杭州南苑控股（集团）有限公司</w:t>
            </w:r>
          </w:p>
          <w:p>
            <w:pPr>
              <w:pStyle w:val="7"/>
              <w:adjustRightInd w:val="0"/>
              <w:snapToGrid w:val="0"/>
              <w:ind w:firstLine="480"/>
              <w:rPr>
                <w:sz w:val="24"/>
                <w:szCs w:val="24"/>
              </w:rPr>
            </w:pPr>
            <w:r>
              <w:rPr>
                <w:rFonts w:hint="eastAsia"/>
                <w:sz w:val="24"/>
                <w:szCs w:val="24"/>
              </w:rPr>
              <w:t>③</w:t>
            </w:r>
            <w:r>
              <w:rPr>
                <w:sz w:val="24"/>
                <w:szCs w:val="24"/>
              </w:rPr>
              <w:t>建设性质：新建</w:t>
            </w:r>
          </w:p>
          <w:p>
            <w:pPr>
              <w:pStyle w:val="7"/>
              <w:adjustRightInd w:val="0"/>
              <w:snapToGrid w:val="0"/>
              <w:ind w:firstLine="480"/>
              <w:rPr>
                <w:sz w:val="24"/>
                <w:szCs w:val="24"/>
              </w:rPr>
            </w:pPr>
            <w:r>
              <w:rPr>
                <w:rFonts w:hint="eastAsia"/>
                <w:sz w:val="24"/>
                <w:szCs w:val="24"/>
              </w:rPr>
              <w:t>④</w:t>
            </w:r>
            <w:r>
              <w:rPr>
                <w:sz w:val="24"/>
                <w:szCs w:val="24"/>
              </w:rPr>
              <w:t>建设地点：</w:t>
            </w:r>
            <w:r>
              <w:rPr>
                <w:rFonts w:hint="eastAsia"/>
                <w:sz w:val="24"/>
                <w:szCs w:val="24"/>
              </w:rPr>
              <w:t>浙江省杭州市临平区南苑街道，东至新城路，西、北至联胜路，南至相邻地块</w:t>
            </w:r>
          </w:p>
          <w:p>
            <w:pPr>
              <w:pStyle w:val="7"/>
              <w:adjustRightInd w:val="0"/>
              <w:snapToGrid w:val="0"/>
              <w:ind w:firstLine="0" w:firstLineChars="0"/>
              <w:rPr>
                <w:b/>
                <w:bCs/>
                <w:sz w:val="24"/>
                <w:szCs w:val="24"/>
              </w:rPr>
            </w:pPr>
            <w:r>
              <w:rPr>
                <w:b/>
                <w:bCs/>
                <w:sz w:val="24"/>
                <w:szCs w:val="24"/>
              </w:rPr>
              <w:t>2、</w:t>
            </w:r>
            <w:r>
              <w:rPr>
                <w:rFonts w:hint="eastAsia"/>
                <w:b/>
                <w:bCs/>
                <w:sz w:val="24"/>
                <w:szCs w:val="24"/>
              </w:rPr>
              <w:t>环境影响</w:t>
            </w:r>
            <w:r>
              <w:rPr>
                <w:b/>
                <w:bCs/>
                <w:sz w:val="24"/>
                <w:szCs w:val="24"/>
              </w:rPr>
              <w:t>报告类别</w:t>
            </w:r>
            <w:r>
              <w:rPr>
                <w:rFonts w:hint="eastAsia"/>
                <w:b/>
                <w:bCs/>
                <w:sz w:val="24"/>
                <w:szCs w:val="24"/>
              </w:rPr>
              <w:t>及排污许可管理类别</w:t>
            </w:r>
            <w:r>
              <w:rPr>
                <w:b/>
                <w:bCs/>
                <w:sz w:val="24"/>
                <w:szCs w:val="24"/>
              </w:rPr>
              <w:t>判定</w:t>
            </w:r>
          </w:p>
          <w:p>
            <w:pPr>
              <w:pStyle w:val="7"/>
              <w:adjustRightInd w:val="0"/>
              <w:snapToGrid w:val="0"/>
              <w:ind w:firstLine="480"/>
              <w:rPr>
                <w:sz w:val="24"/>
                <w:szCs w:val="24"/>
              </w:rPr>
            </w:pPr>
            <w:r>
              <w:rPr>
                <w:sz w:val="24"/>
                <w:szCs w:val="24"/>
              </w:rPr>
              <w:t>本项目为九年一贯制学校建设项目，规划总用地面积45869平方米，根据《建设项目环境影响评价分类管理名录》（2021年版），项目属于“五十、社会事业与服务业”中“110学校、福利院、养老院（建筑面积5000平方米及以上的）”中“新建涉及环境敏感区的；有化学、生物实验室的学校”，评价类别为环境影响报告表。因此，本项目应编制环境影响报告表。</w:t>
            </w:r>
          </w:p>
          <w:p>
            <w:pPr>
              <w:pStyle w:val="16"/>
              <w:ind w:firstLine="480" w:firstLineChars="200"/>
              <w:rPr>
                <w:rFonts w:ascii="Times New Roman" w:hAnsi="Times New Roman" w:eastAsia="宋体" w:cs="Times New Roman"/>
              </w:rPr>
            </w:pPr>
            <w:r>
              <w:rPr>
                <w:rFonts w:ascii="Times New Roman" w:hAnsi="Times New Roman" w:eastAsia="宋体" w:cs="Times New Roman"/>
              </w:rPr>
              <w:t>本项目为九年一贯制学校建设项目，对照《固定污染源排污许可分类管理名录（2019年版）》可知，本项目不在排污许可分类管理名录内，可不进行排污许可登记。</w:t>
            </w:r>
          </w:p>
          <w:p>
            <w:pPr>
              <w:adjustRightInd w:val="0"/>
              <w:snapToGrid w:val="0"/>
              <w:rPr>
                <w:rFonts w:eastAsia="宋体"/>
                <w:b/>
                <w:bCs/>
              </w:rPr>
            </w:pPr>
            <w:r>
              <w:rPr>
                <w:rFonts w:eastAsia="宋体"/>
                <w:b/>
                <w:bCs/>
              </w:rPr>
              <w:t>3</w:t>
            </w:r>
            <w:r>
              <w:rPr>
                <w:rFonts w:hint="eastAsia" w:eastAsia="宋体"/>
                <w:b/>
                <w:bCs/>
              </w:rPr>
              <w:t>、项目主要建设内容</w:t>
            </w:r>
          </w:p>
          <w:p>
            <w:pPr>
              <w:pStyle w:val="7"/>
              <w:adjustRightInd w:val="0"/>
              <w:snapToGrid w:val="0"/>
              <w:ind w:firstLine="480"/>
              <w:rPr>
                <w:sz w:val="24"/>
                <w:szCs w:val="24"/>
              </w:rPr>
            </w:pPr>
            <w:r>
              <w:rPr>
                <w:rFonts w:hint="eastAsia"/>
                <w:sz w:val="24"/>
                <w:szCs w:val="24"/>
              </w:rPr>
              <w:t>本项目拟建规模为45班九年制义务教育学校，其中小学36班（含预留6班），初中18班（含预留3班）。小学学生人数1620人（含预留6个班，共270人），初中学生人数810人（含预留3个班，共135人），共计2430人（含预留9个班，共405人）。学校教职工人数共137人，其中小学教职工91人，中学教职工46人。地下需配建公共停车库。规划总用地面积45869平方米（合68.8亩），总建筑面积61275.60平方米，其中地上建筑面积为45072.60平方米，地下建筑面积16203.0平方米。本工程由小学部教学区、中学部教学区、综合楼（含行政、食堂、报告厅、图书馆、风雨操场）、地下1层的机动车停车库、设备用房、半地下活动空间、学生接送大厅以及连廊及看台、传达室及辅助用房等组成。</w:t>
            </w:r>
          </w:p>
          <w:p>
            <w:pPr>
              <w:pStyle w:val="16"/>
              <w:ind w:firstLine="482" w:firstLineChars="200"/>
              <w:rPr>
                <w:rFonts w:ascii="Times New Roman" w:hAnsi="Times New Roman" w:eastAsia="宋体" w:cs="Times New Roman"/>
                <w:b/>
                <w:bCs/>
              </w:rPr>
            </w:pPr>
            <w:r>
              <w:rPr>
                <w:rFonts w:ascii="Times New Roman" w:hAnsi="Times New Roman" w:eastAsia="宋体" w:cs="Times New Roman"/>
                <w:b/>
                <w:bCs/>
              </w:rPr>
              <w:t>3.1</w:t>
            </w:r>
            <w:r>
              <w:rPr>
                <w:rFonts w:hint="eastAsia" w:ascii="Times New Roman" w:hAnsi="Times New Roman" w:eastAsia="宋体" w:cs="Times New Roman"/>
                <w:b/>
                <w:bCs/>
              </w:rPr>
              <w:t>项目规模</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项目主入口布置在地块北侧与沿河公园，基地的南侧为运动场，校园西侧临河及居住用地。中央广场位于核心，中央广场两侧为教学组团，下沉庭院与风雨操场、地下室接送空间结合。本项目具体情况见表2</w:t>
            </w:r>
            <w:r>
              <w:rPr>
                <w:rFonts w:ascii="Times New Roman" w:hAnsi="Times New Roman" w:eastAsia="宋体" w:cs="Times New Roman"/>
              </w:rPr>
              <w:t>-</w:t>
            </w:r>
            <w:r>
              <w:rPr>
                <w:rFonts w:hint="eastAsia" w:ascii="Times New Roman" w:hAnsi="Times New Roman" w:eastAsia="宋体" w:cs="Times New Roman"/>
              </w:rPr>
              <w:t>1。</w:t>
            </w:r>
          </w:p>
          <w:p>
            <w:pPr>
              <w:pStyle w:val="16"/>
              <w:spacing w:before="156" w:beforeLines="50" w:line="24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表2</w:t>
            </w:r>
            <w:r>
              <w:rPr>
                <w:rFonts w:ascii="Times New Roman" w:hAnsi="Times New Roman" w:eastAsia="宋体" w:cs="Times New Roman"/>
                <w:b/>
                <w:bCs/>
                <w:sz w:val="21"/>
                <w:szCs w:val="21"/>
              </w:rPr>
              <w:t>-</w:t>
            </w:r>
            <w:r>
              <w:rPr>
                <w:rFonts w:hint="eastAsia" w:ascii="Times New Roman" w:hAnsi="Times New Roman" w:eastAsia="宋体" w:cs="Times New Roman"/>
                <w:b/>
                <w:bCs/>
                <w:sz w:val="21"/>
                <w:szCs w:val="21"/>
              </w:rPr>
              <w:t>1主要构筑物一览表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152"/>
              <w:gridCol w:w="5385"/>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9" w:type="dxa"/>
                  <w:gridSpan w:val="2"/>
                  <w:vAlign w:val="center"/>
                </w:tcPr>
                <w:p>
                  <w:pPr>
                    <w:pStyle w:val="16"/>
                    <w:spacing w:line="24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项目</w:t>
                  </w:r>
                </w:p>
              </w:tc>
              <w:tc>
                <w:tcPr>
                  <w:tcW w:w="5392" w:type="dxa"/>
                  <w:vAlign w:val="center"/>
                </w:tcPr>
                <w:p>
                  <w:pPr>
                    <w:pStyle w:val="16"/>
                    <w:spacing w:line="24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建设内容及规模</w:t>
                  </w:r>
                </w:p>
              </w:tc>
              <w:tc>
                <w:tcPr>
                  <w:tcW w:w="671" w:type="dxa"/>
                  <w:vAlign w:val="center"/>
                </w:tcPr>
                <w:p>
                  <w:pPr>
                    <w:pStyle w:val="16"/>
                    <w:spacing w:line="24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主体工程</w:t>
                  </w:r>
                </w:p>
              </w:tc>
              <w:tc>
                <w:tcPr>
                  <w:tcW w:w="1153"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小学教学部</w:t>
                  </w:r>
                </w:p>
              </w:tc>
              <w:tc>
                <w:tcPr>
                  <w:tcW w:w="5392" w:type="dxa"/>
                  <w:vAlign w:val="center"/>
                </w:tcPr>
                <w:p>
                  <w:pPr>
                    <w:pStyle w:val="16"/>
                    <w:spacing w:line="24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小学部教学楼设于地块西侧，地上5层。层高：1层5.4米，2层4.2米，3层4.2米，4层4.2米，5层4.2米。室内外高差0.15米。教学楼回字形布局，三层通过活动平台与中学部教学楼、行政办公、图书阅览以及风雨操场相连。</w:t>
                  </w:r>
                </w:p>
              </w:tc>
              <w:tc>
                <w:tcPr>
                  <w:tcW w:w="671"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16"/>
                    <w:spacing w:line="240" w:lineRule="auto"/>
                    <w:jc w:val="center"/>
                    <w:rPr>
                      <w:rFonts w:ascii="Times New Roman" w:hAnsi="Times New Roman" w:eastAsia="宋体" w:cs="Times New Roman"/>
                      <w:sz w:val="21"/>
                      <w:szCs w:val="21"/>
                    </w:rPr>
                  </w:pPr>
                </w:p>
              </w:tc>
              <w:tc>
                <w:tcPr>
                  <w:tcW w:w="1153"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初中教学部</w:t>
                  </w:r>
                </w:p>
              </w:tc>
              <w:tc>
                <w:tcPr>
                  <w:tcW w:w="5392" w:type="dxa"/>
                  <w:vAlign w:val="center"/>
                </w:tcPr>
                <w:p>
                  <w:pPr>
                    <w:pStyle w:val="16"/>
                    <w:spacing w:line="24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中学部教学楼设于地块北侧，地上5层。层高：1层5.4米，2层4.2米，3层4.2米，4层4.2米，5层4.2米。室内外高差0.15米。教学楼回字形布局，三层通过活动平台与小学部教学楼、行政办公、图书阅览以及风雨操场相连。</w:t>
                  </w:r>
                </w:p>
              </w:tc>
              <w:tc>
                <w:tcPr>
                  <w:tcW w:w="671"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16"/>
                    <w:spacing w:line="240" w:lineRule="auto"/>
                    <w:jc w:val="center"/>
                    <w:rPr>
                      <w:rFonts w:ascii="Times New Roman" w:hAnsi="Times New Roman" w:eastAsia="宋体" w:cs="Times New Roman"/>
                      <w:sz w:val="21"/>
                      <w:szCs w:val="21"/>
                    </w:rPr>
                  </w:pPr>
                </w:p>
              </w:tc>
              <w:tc>
                <w:tcPr>
                  <w:tcW w:w="1153"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综合楼</w:t>
                  </w:r>
                </w:p>
              </w:tc>
              <w:tc>
                <w:tcPr>
                  <w:tcW w:w="5392" w:type="dxa"/>
                  <w:vAlign w:val="center"/>
                </w:tcPr>
                <w:p>
                  <w:pPr>
                    <w:pStyle w:val="16"/>
                    <w:spacing w:line="24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综合楼由行政办公、风雨操场、图书馆、报告厅等组成，位于场地中部，三层环形公共廊道。下沉庭院周边空间作为放学等候区，家长接送区等。</w:t>
                  </w:r>
                </w:p>
              </w:tc>
              <w:tc>
                <w:tcPr>
                  <w:tcW w:w="671"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辅助工程</w:t>
                  </w:r>
                </w:p>
              </w:tc>
              <w:tc>
                <w:tcPr>
                  <w:tcW w:w="1153"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地下室、运动场</w:t>
                  </w:r>
                </w:p>
              </w:tc>
              <w:tc>
                <w:tcPr>
                  <w:tcW w:w="5392" w:type="dxa"/>
                  <w:vAlign w:val="center"/>
                </w:tcPr>
                <w:p>
                  <w:pPr>
                    <w:pStyle w:val="16"/>
                    <w:spacing w:line="24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校园主要由300米跑道、5片篮球场、2片排球场和器械场地组成，地下室设置了设备用房、风雨操场、家长等候大厅、社会机动车停车库和教职工机动车停车库等。</w:t>
                  </w:r>
                </w:p>
              </w:tc>
              <w:tc>
                <w:tcPr>
                  <w:tcW w:w="671"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16"/>
                    <w:spacing w:line="240" w:lineRule="auto"/>
                    <w:jc w:val="center"/>
                    <w:rPr>
                      <w:rFonts w:ascii="Times New Roman" w:hAnsi="Times New Roman" w:eastAsia="宋体" w:cs="Times New Roman"/>
                      <w:sz w:val="21"/>
                      <w:szCs w:val="21"/>
                    </w:rPr>
                  </w:pPr>
                </w:p>
              </w:tc>
              <w:tc>
                <w:tcPr>
                  <w:tcW w:w="1153"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传达室等辅助用房</w:t>
                  </w:r>
                </w:p>
              </w:tc>
              <w:tc>
                <w:tcPr>
                  <w:tcW w:w="5392" w:type="dxa"/>
                  <w:vAlign w:val="center"/>
                </w:tcPr>
                <w:p>
                  <w:pPr>
                    <w:pStyle w:val="16"/>
                    <w:spacing w:line="24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校园北侧设大门及保卫室、消控室。建筑面积80m</w:t>
                  </w:r>
                  <w:r>
                    <w:rPr>
                      <w:rFonts w:hint="eastAsia" w:ascii="Times New Roman" w:hAnsi="Times New Roman" w:eastAsia="宋体" w:cs="Times New Roman"/>
                      <w:sz w:val="21"/>
                      <w:szCs w:val="21"/>
                      <w:vertAlign w:val="superscript"/>
                    </w:rPr>
                    <w:t>2</w:t>
                  </w:r>
                </w:p>
              </w:tc>
              <w:tc>
                <w:tcPr>
                  <w:tcW w:w="671"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公用工程</w:t>
                  </w:r>
                </w:p>
              </w:tc>
              <w:tc>
                <w:tcPr>
                  <w:tcW w:w="1153"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给水</w:t>
                  </w:r>
                </w:p>
              </w:tc>
              <w:tc>
                <w:tcPr>
                  <w:tcW w:w="5392" w:type="dxa"/>
                  <w:vAlign w:val="center"/>
                </w:tcPr>
                <w:p>
                  <w:pPr>
                    <w:pStyle w:val="16"/>
                    <w:spacing w:line="24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给水水源选用城市自来水，从市政给水管网上接入，市政水压暂按0.20Mpa考虑。</w:t>
                  </w:r>
                </w:p>
              </w:tc>
              <w:tc>
                <w:tcPr>
                  <w:tcW w:w="671"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16"/>
                    <w:spacing w:line="240" w:lineRule="auto"/>
                    <w:jc w:val="center"/>
                    <w:rPr>
                      <w:rFonts w:ascii="Times New Roman" w:hAnsi="Times New Roman" w:eastAsia="宋体" w:cs="Times New Roman"/>
                      <w:sz w:val="21"/>
                      <w:szCs w:val="21"/>
                    </w:rPr>
                  </w:pPr>
                </w:p>
              </w:tc>
              <w:tc>
                <w:tcPr>
                  <w:tcW w:w="1153"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排水</w:t>
                  </w:r>
                </w:p>
              </w:tc>
              <w:tc>
                <w:tcPr>
                  <w:tcW w:w="5392" w:type="dxa"/>
                  <w:vAlign w:val="center"/>
                </w:tcPr>
                <w:p>
                  <w:pPr>
                    <w:pStyle w:val="16"/>
                    <w:spacing w:line="24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排水分雨、污水分流制。雨水就近排入东、西、北侧市政雨水管道（已有东侧两处接口，西侧和北侧接口需市政考虑预留），污水排入东侧新城路现有两处市政接驳井和北侧木梳街规划市政污水管网。</w:t>
                  </w:r>
                </w:p>
              </w:tc>
              <w:tc>
                <w:tcPr>
                  <w:tcW w:w="671"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426" w:type="dxa"/>
                  <w:vMerge w:val="continue"/>
                  <w:vAlign w:val="center"/>
                </w:tcPr>
                <w:p>
                  <w:pPr>
                    <w:pStyle w:val="16"/>
                    <w:spacing w:line="240" w:lineRule="auto"/>
                    <w:jc w:val="center"/>
                    <w:rPr>
                      <w:rFonts w:ascii="Times New Roman" w:hAnsi="Times New Roman" w:eastAsia="宋体" w:cs="Times New Roman"/>
                      <w:sz w:val="21"/>
                      <w:szCs w:val="21"/>
                    </w:rPr>
                  </w:pPr>
                </w:p>
              </w:tc>
              <w:tc>
                <w:tcPr>
                  <w:tcW w:w="1153"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暖通</w:t>
                  </w:r>
                </w:p>
              </w:tc>
              <w:tc>
                <w:tcPr>
                  <w:tcW w:w="5392" w:type="dxa"/>
                  <w:vAlign w:val="center"/>
                </w:tcPr>
                <w:p>
                  <w:pPr>
                    <w:pStyle w:val="16"/>
                    <w:spacing w:line="24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本工程各单体均为不大于50m的公共建筑，具备自然通风条件的封闭楼梯间、防烟楼梯间、独立前室、合用前室及消防电梯前室均采用自然通风系统。不具备自然通风条件的封闭楼梯间、防烟楼梯间、独立前室、共用前室、合用前室及消防电梯前室采用机械加压送风系统。</w:t>
                  </w:r>
                </w:p>
              </w:tc>
              <w:tc>
                <w:tcPr>
                  <w:tcW w:w="671"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16"/>
                    <w:spacing w:line="240" w:lineRule="auto"/>
                    <w:jc w:val="center"/>
                    <w:rPr>
                      <w:rFonts w:ascii="Times New Roman" w:hAnsi="Times New Roman" w:eastAsia="宋体" w:cs="Times New Roman"/>
                      <w:sz w:val="21"/>
                      <w:szCs w:val="21"/>
                    </w:rPr>
                  </w:pPr>
                </w:p>
              </w:tc>
              <w:tc>
                <w:tcPr>
                  <w:tcW w:w="1153"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供电</w:t>
                  </w:r>
                </w:p>
              </w:tc>
              <w:tc>
                <w:tcPr>
                  <w:tcW w:w="5392" w:type="dxa"/>
                  <w:vAlign w:val="center"/>
                </w:tcPr>
                <w:p>
                  <w:pPr>
                    <w:pStyle w:val="16"/>
                    <w:spacing w:line="24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本工程按变、配电所按深入负荷中心的原则，设2座变电所。变压器总装机容量3600kVA。</w:t>
                  </w:r>
                </w:p>
              </w:tc>
              <w:tc>
                <w:tcPr>
                  <w:tcW w:w="671"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环保工程</w:t>
                  </w:r>
                </w:p>
              </w:tc>
              <w:tc>
                <w:tcPr>
                  <w:tcW w:w="1153"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废气</w:t>
                  </w:r>
                </w:p>
              </w:tc>
              <w:tc>
                <w:tcPr>
                  <w:tcW w:w="5392" w:type="dxa"/>
                  <w:vAlign w:val="center"/>
                </w:tcPr>
                <w:p>
                  <w:pPr>
                    <w:pStyle w:val="16"/>
                    <w:spacing w:line="24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汽车尾气由竖井引至地面排放；</w:t>
                  </w:r>
                </w:p>
                <w:p>
                  <w:pPr>
                    <w:pStyle w:val="16"/>
                    <w:spacing w:line="24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油烟废气经油烟净化器处理后通过排烟管道引至所在楼楼顶高空排放；</w:t>
                  </w:r>
                </w:p>
                <w:p>
                  <w:pPr>
                    <w:pStyle w:val="16"/>
                    <w:spacing w:line="24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化学和生物</w:t>
                  </w:r>
                  <w:r>
                    <w:rPr>
                      <w:rFonts w:hint="eastAsia" w:ascii="Times New Roman" w:hAnsi="Times New Roman" w:eastAsia="宋体" w:cs="Times New Roman"/>
                      <w:sz w:val="21"/>
                      <w:szCs w:val="21"/>
                    </w:rPr>
                    <w:t>实验室设置专门的排毒通风柜，并设专门的风道或竖井将实验室废气引致屋顶高空排放</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排放高度20m</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w:t>
                  </w:r>
                </w:p>
                <w:p>
                  <w:pPr>
                    <w:pStyle w:val="16"/>
                    <w:spacing w:line="24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生活垃圾日产日清，保洁人员在垃圾清运后，应及时对垃圾房进行清扫，定期喷洒除臭剂除臭。</w:t>
                  </w:r>
                </w:p>
              </w:tc>
              <w:tc>
                <w:tcPr>
                  <w:tcW w:w="671"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16"/>
                    <w:spacing w:line="240" w:lineRule="auto"/>
                    <w:jc w:val="center"/>
                    <w:rPr>
                      <w:rFonts w:ascii="Times New Roman" w:hAnsi="Times New Roman" w:eastAsia="宋体" w:cs="Times New Roman"/>
                      <w:sz w:val="21"/>
                      <w:szCs w:val="21"/>
                    </w:rPr>
                  </w:pPr>
                </w:p>
              </w:tc>
              <w:tc>
                <w:tcPr>
                  <w:tcW w:w="1153"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废水</w:t>
                  </w:r>
                </w:p>
              </w:tc>
              <w:tc>
                <w:tcPr>
                  <w:tcW w:w="5392" w:type="dxa"/>
                  <w:vAlign w:val="center"/>
                </w:tcPr>
                <w:p>
                  <w:pPr>
                    <w:pStyle w:val="16"/>
                    <w:spacing w:line="24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实验室废水经室外酸碱中和池处理，排至污水管网，生活污水经化粪池处理，食堂废水经隔油池处理，达到《污水综合排放标准》（GB8978-1996）三级标准后一同排入市政污水管网。</w:t>
                  </w:r>
                </w:p>
              </w:tc>
              <w:tc>
                <w:tcPr>
                  <w:tcW w:w="671"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16"/>
                    <w:spacing w:line="240" w:lineRule="auto"/>
                    <w:jc w:val="center"/>
                    <w:rPr>
                      <w:rFonts w:ascii="Times New Roman" w:hAnsi="Times New Roman" w:eastAsia="宋体" w:cs="Times New Roman"/>
                      <w:sz w:val="21"/>
                      <w:szCs w:val="21"/>
                    </w:rPr>
                  </w:pPr>
                </w:p>
              </w:tc>
              <w:tc>
                <w:tcPr>
                  <w:tcW w:w="1153"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固废</w:t>
                  </w:r>
                </w:p>
              </w:tc>
              <w:tc>
                <w:tcPr>
                  <w:tcW w:w="5392" w:type="dxa"/>
                  <w:vAlign w:val="center"/>
                </w:tcPr>
                <w:p>
                  <w:pPr>
                    <w:pStyle w:val="16"/>
                    <w:spacing w:line="24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设1个危废暂存间，位于</w:t>
                  </w:r>
                  <w:r>
                    <w:rPr>
                      <w:rFonts w:hint="eastAsia" w:ascii="Times New Roman" w:hAnsi="Times New Roman" w:eastAsia="宋体" w:cs="Times New Roman"/>
                      <w:sz w:val="21"/>
                      <w:szCs w:val="21"/>
                      <w:lang w:val="en-US" w:eastAsia="zh-CN"/>
                    </w:rPr>
                    <w:t>综合楼5楼</w:t>
                  </w:r>
                  <w:r>
                    <w:rPr>
                      <w:rFonts w:hint="eastAsia" w:ascii="Times New Roman" w:hAnsi="Times New Roman" w:eastAsia="宋体" w:cs="Times New Roman"/>
                      <w:sz w:val="21"/>
                      <w:szCs w:val="21"/>
                    </w:rPr>
                    <w:t>，占地约</w:t>
                  </w:r>
                  <w:r>
                    <w:rPr>
                      <w:rFonts w:hint="eastAsia" w:ascii="Times New Roman" w:hAnsi="Times New Roman" w:eastAsia="宋体" w:cs="Times New Roman"/>
                      <w:sz w:val="21"/>
                      <w:szCs w:val="21"/>
                      <w:lang w:val="en-US" w:eastAsia="zh-CN"/>
                    </w:rPr>
                    <w:t>3</w:t>
                  </w:r>
                  <w:r>
                    <w:rPr>
                      <w:rFonts w:ascii="Times New Roman" w:hAnsi="Times New Roman" w:eastAsia="宋体" w:cs="Times New Roman"/>
                      <w:sz w:val="21"/>
                      <w:szCs w:val="21"/>
                    </w:rPr>
                    <w:t>m</w:t>
                  </w:r>
                  <w:r>
                    <w:rPr>
                      <w:rFonts w:ascii="Times New Roman" w:hAnsi="Times New Roman" w:eastAsia="宋体" w:cs="Times New Roman"/>
                      <w:sz w:val="21"/>
                      <w:szCs w:val="21"/>
                      <w:vertAlign w:val="superscript"/>
                    </w:rPr>
                    <w:t>2</w:t>
                  </w:r>
                  <w:r>
                    <w:rPr>
                      <w:rFonts w:hint="eastAsia" w:ascii="Times New Roman" w:hAnsi="Times New Roman" w:eastAsia="宋体" w:cs="Times New Roman"/>
                      <w:sz w:val="21"/>
                      <w:szCs w:val="21"/>
                    </w:rPr>
                    <w:t>；</w:t>
                  </w:r>
                </w:p>
                <w:p>
                  <w:pPr>
                    <w:pStyle w:val="16"/>
                    <w:spacing w:line="24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设1个独立垃圾房，位于学校东北侧（地下室）</w:t>
                  </w:r>
                </w:p>
              </w:tc>
              <w:tc>
                <w:tcPr>
                  <w:tcW w:w="671"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16"/>
                    <w:spacing w:line="240" w:lineRule="auto"/>
                    <w:jc w:val="center"/>
                    <w:rPr>
                      <w:rFonts w:ascii="Times New Roman" w:hAnsi="Times New Roman" w:eastAsia="宋体" w:cs="Times New Roman"/>
                      <w:sz w:val="21"/>
                      <w:szCs w:val="21"/>
                    </w:rPr>
                  </w:pPr>
                </w:p>
              </w:tc>
              <w:tc>
                <w:tcPr>
                  <w:tcW w:w="1153"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噪声</w:t>
                  </w:r>
                </w:p>
              </w:tc>
              <w:tc>
                <w:tcPr>
                  <w:tcW w:w="5392" w:type="dxa"/>
                  <w:vAlign w:val="center"/>
                </w:tcPr>
                <w:p>
                  <w:pPr>
                    <w:pStyle w:val="16"/>
                    <w:spacing w:line="24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1）主要运转设备尽可能设在地下室内。</w:t>
                  </w:r>
                </w:p>
                <w:p>
                  <w:pPr>
                    <w:pStyle w:val="16"/>
                    <w:spacing w:line="24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2）使用高效率、低噪声、低振动的设备。</w:t>
                  </w:r>
                </w:p>
                <w:p>
                  <w:pPr>
                    <w:pStyle w:val="16"/>
                    <w:spacing w:line="24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3）使用低噪音的机组，并在机组和混凝土基础之间设置橡胶垫衬，以减少噪音和振动。</w:t>
                  </w:r>
                </w:p>
                <w:p>
                  <w:pPr>
                    <w:pStyle w:val="16"/>
                    <w:spacing w:line="24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4）变配电所考虑变压器减震及降噪措施，在室内适当加装吸音材料或在变压器下加防震胶垫。</w:t>
                  </w:r>
                </w:p>
                <w:p>
                  <w:pPr>
                    <w:pStyle w:val="16"/>
                    <w:spacing w:line="24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5）所有水泵机组均设置橡胶隔板垫（器）和可曲挠橡胶接头等起到消声，隔振作用，并选用低噪音水泵。</w:t>
                  </w:r>
                </w:p>
                <w:p>
                  <w:pPr>
                    <w:pStyle w:val="16"/>
                    <w:spacing w:line="24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6）各类会议室的门及内窗建议采用隔声门窗。</w:t>
                  </w:r>
                </w:p>
                <w:p>
                  <w:pPr>
                    <w:pStyle w:val="16"/>
                    <w:spacing w:line="24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7）空调机房、风机房等产生噪声的房间墙面粘贴矿棉吸音材料，顶板垂挂吸音板，以达到衰减二次反射噪声的目的，机房门采用隔声门。</w:t>
                  </w:r>
                </w:p>
                <w:p>
                  <w:pPr>
                    <w:pStyle w:val="16"/>
                    <w:spacing w:line="24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8）空调机组、风机等设备基础均采取减振措施，进出风管及水管连接均设软接头，管道支吊架均采用减震吊架，穿越机房的洞孔均用不燃材料封堵密实，风管系统采取设置消声器、消声弯头等消声措施，通风管道弯管长边大500mm时均加设导流叶片，以减少涡流声。</w:t>
                  </w:r>
                </w:p>
              </w:tc>
              <w:tc>
                <w:tcPr>
                  <w:tcW w:w="671"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新建</w:t>
                  </w:r>
                </w:p>
              </w:tc>
            </w:tr>
          </w:tbl>
          <w:p>
            <w:pPr>
              <w:pStyle w:val="7"/>
              <w:adjustRightInd w:val="0"/>
              <w:snapToGrid w:val="0"/>
              <w:ind w:firstLine="480"/>
              <w:rPr>
                <w:sz w:val="24"/>
                <w:szCs w:val="24"/>
              </w:rPr>
            </w:pPr>
            <w:r>
              <w:rPr>
                <w:rFonts w:hint="eastAsia"/>
                <w:sz w:val="24"/>
                <w:szCs w:val="24"/>
              </w:rPr>
              <w:t>本项目位于杭州市临平区南苑街道，用地性质为中小学用地（A33）。用地面积为45869.00平方米，总建筑面积57683.7平方米，其中地上计容建筑面积41812平方米，地下建筑面积15871.7平方米，容积率为0.94。具体技术经济指标如下表所示：</w:t>
            </w:r>
          </w:p>
          <w:p>
            <w:pPr>
              <w:pStyle w:val="16"/>
              <w:ind w:firstLine="422" w:firstLineChars="20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表2-</w:t>
            </w:r>
            <w:r>
              <w:rPr>
                <w:rFonts w:hint="eastAsia" w:ascii="Times New Roman" w:hAnsi="Times New Roman" w:eastAsia="宋体" w:cs="Times New Roman"/>
                <w:b/>
                <w:bCs/>
                <w:sz w:val="21"/>
                <w:szCs w:val="21"/>
              </w:rPr>
              <w:t>2</w:t>
            </w:r>
            <w:r>
              <w:rPr>
                <w:rFonts w:ascii="Times New Roman" w:hAnsi="Times New Roman" w:eastAsia="宋体" w:cs="Times New Roman"/>
                <w:b/>
                <w:bCs/>
                <w:sz w:val="21"/>
                <w:szCs w:val="21"/>
              </w:rPr>
              <w:t xml:space="preserve"> 本项目</w:t>
            </w:r>
            <w:r>
              <w:rPr>
                <w:rFonts w:hint="eastAsia" w:ascii="Times New Roman" w:hAnsi="Times New Roman" w:eastAsia="宋体" w:cs="Times New Roman"/>
                <w:b/>
                <w:bCs/>
                <w:sz w:val="21"/>
                <w:szCs w:val="21"/>
              </w:rPr>
              <w:t>主要经济技术指标一览表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24"/>
              <w:gridCol w:w="1534"/>
              <w:gridCol w:w="1275"/>
              <w:gridCol w:w="1134"/>
              <w:gridCol w:w="3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4" w:type="dxa"/>
                  <w:gridSpan w:val="3"/>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1275"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数值</w:t>
                  </w:r>
                </w:p>
              </w:tc>
              <w:tc>
                <w:tcPr>
                  <w:tcW w:w="1134"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单位</w:t>
                  </w:r>
                </w:p>
              </w:tc>
              <w:tc>
                <w:tcPr>
                  <w:tcW w:w="3085"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4" w:type="dxa"/>
                  <w:gridSpan w:val="3"/>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总用地面积</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45869</w:t>
                  </w:r>
                </w:p>
              </w:tc>
              <w:tc>
                <w:tcPr>
                  <w:tcW w:w="1134"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m</w:t>
                  </w:r>
                  <w:r>
                    <w:rPr>
                      <w:rFonts w:ascii="Times New Roman" w:hAnsi="Times New Roman" w:eastAsia="宋体" w:cs="Times New Roman"/>
                      <w:sz w:val="21"/>
                      <w:szCs w:val="21"/>
                      <w:vertAlign w:val="superscript"/>
                    </w:rPr>
                    <w:t>2</w:t>
                  </w:r>
                </w:p>
              </w:tc>
              <w:tc>
                <w:tcPr>
                  <w:tcW w:w="3085"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4" w:type="dxa"/>
                  <w:gridSpan w:val="3"/>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总建筑面积</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57683.7</w:t>
                  </w:r>
                </w:p>
              </w:tc>
              <w:tc>
                <w:tcPr>
                  <w:tcW w:w="1134"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sz w:val="21"/>
                      <w:szCs w:val="21"/>
                    </w:rPr>
                    <w:t>m</w:t>
                  </w:r>
                  <w:r>
                    <w:rPr>
                      <w:rFonts w:ascii="Times New Roman" w:hAnsi="Times New Roman" w:eastAsia="宋体" w:cs="Times New Roman"/>
                      <w:sz w:val="21"/>
                      <w:szCs w:val="21"/>
                      <w:vertAlign w:val="superscript"/>
                    </w:rPr>
                    <w:t>2</w:t>
                  </w:r>
                </w:p>
              </w:tc>
              <w:tc>
                <w:tcPr>
                  <w:tcW w:w="3085"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4" w:type="dxa"/>
                  <w:gridSpan w:val="3"/>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地上建筑面积</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41812</w:t>
                  </w:r>
                </w:p>
              </w:tc>
              <w:tc>
                <w:tcPr>
                  <w:tcW w:w="1134"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sz w:val="21"/>
                      <w:szCs w:val="21"/>
                    </w:rPr>
                    <w:t>m</w:t>
                  </w:r>
                  <w:r>
                    <w:rPr>
                      <w:rFonts w:ascii="Times New Roman" w:hAnsi="Times New Roman" w:eastAsia="宋体" w:cs="Times New Roman"/>
                      <w:sz w:val="21"/>
                      <w:szCs w:val="21"/>
                      <w:vertAlign w:val="superscript"/>
                    </w:rPr>
                    <w:t>2</w:t>
                  </w:r>
                </w:p>
              </w:tc>
              <w:tc>
                <w:tcPr>
                  <w:tcW w:w="3085"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restar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其中</w:t>
                  </w:r>
                </w:p>
              </w:tc>
              <w:tc>
                <w:tcPr>
                  <w:tcW w:w="1558" w:type="dxa"/>
                  <w:gridSpan w:val="2"/>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小学部</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9780</w:t>
                  </w:r>
                </w:p>
              </w:tc>
              <w:tc>
                <w:tcPr>
                  <w:tcW w:w="1134"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sz w:val="21"/>
                      <w:szCs w:val="21"/>
                    </w:rPr>
                    <w:t>m</w:t>
                  </w:r>
                  <w:r>
                    <w:rPr>
                      <w:rFonts w:ascii="Times New Roman" w:hAnsi="Times New Roman" w:eastAsia="宋体" w:cs="Times New Roman"/>
                      <w:sz w:val="21"/>
                      <w:szCs w:val="21"/>
                      <w:vertAlign w:val="superscript"/>
                    </w:rPr>
                    <w:t>2</w:t>
                  </w:r>
                </w:p>
              </w:tc>
              <w:tc>
                <w:tcPr>
                  <w:tcW w:w="3085"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pPr>
                    <w:pStyle w:val="16"/>
                    <w:spacing w:line="240" w:lineRule="auto"/>
                    <w:jc w:val="center"/>
                    <w:rPr>
                      <w:rFonts w:ascii="Times New Roman" w:hAnsi="Times New Roman" w:eastAsia="宋体" w:cs="Times New Roman"/>
                      <w:sz w:val="21"/>
                      <w:szCs w:val="21"/>
                    </w:rPr>
                  </w:pPr>
                </w:p>
              </w:tc>
              <w:tc>
                <w:tcPr>
                  <w:tcW w:w="1558" w:type="dxa"/>
                  <w:gridSpan w:val="2"/>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中学部</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8304</w:t>
                  </w:r>
                </w:p>
              </w:tc>
              <w:tc>
                <w:tcPr>
                  <w:tcW w:w="1134"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sz w:val="21"/>
                      <w:szCs w:val="21"/>
                    </w:rPr>
                    <w:t>m</w:t>
                  </w:r>
                  <w:r>
                    <w:rPr>
                      <w:rFonts w:ascii="Times New Roman" w:hAnsi="Times New Roman" w:eastAsia="宋体" w:cs="Times New Roman"/>
                      <w:sz w:val="21"/>
                      <w:szCs w:val="21"/>
                      <w:vertAlign w:val="superscript"/>
                    </w:rPr>
                    <w:t>2</w:t>
                  </w:r>
                </w:p>
              </w:tc>
              <w:tc>
                <w:tcPr>
                  <w:tcW w:w="3085"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pPr>
                    <w:pStyle w:val="16"/>
                    <w:spacing w:line="240" w:lineRule="auto"/>
                    <w:jc w:val="center"/>
                    <w:rPr>
                      <w:rFonts w:ascii="Times New Roman" w:hAnsi="Times New Roman" w:eastAsia="宋体" w:cs="Times New Roman"/>
                      <w:sz w:val="21"/>
                      <w:szCs w:val="21"/>
                    </w:rPr>
                  </w:pPr>
                </w:p>
              </w:tc>
              <w:tc>
                <w:tcPr>
                  <w:tcW w:w="1558" w:type="dxa"/>
                  <w:gridSpan w:val="2"/>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综合楼</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21733</w:t>
                  </w:r>
                </w:p>
              </w:tc>
              <w:tc>
                <w:tcPr>
                  <w:tcW w:w="1134"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sz w:val="21"/>
                      <w:szCs w:val="21"/>
                    </w:rPr>
                    <w:t>m</w:t>
                  </w:r>
                  <w:r>
                    <w:rPr>
                      <w:rFonts w:ascii="Times New Roman" w:hAnsi="Times New Roman" w:eastAsia="宋体" w:cs="Times New Roman"/>
                      <w:sz w:val="21"/>
                      <w:szCs w:val="21"/>
                      <w:vertAlign w:val="superscript"/>
                    </w:rPr>
                    <w:t>2</w:t>
                  </w:r>
                </w:p>
              </w:tc>
              <w:tc>
                <w:tcPr>
                  <w:tcW w:w="3085"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pPr>
                    <w:pStyle w:val="16"/>
                    <w:spacing w:line="240" w:lineRule="auto"/>
                    <w:jc w:val="center"/>
                    <w:rPr>
                      <w:rFonts w:ascii="Times New Roman" w:hAnsi="Times New Roman" w:eastAsia="宋体" w:cs="Times New Roman"/>
                      <w:sz w:val="21"/>
                      <w:szCs w:val="21"/>
                    </w:rPr>
                  </w:pPr>
                </w:p>
              </w:tc>
              <w:tc>
                <w:tcPr>
                  <w:tcW w:w="1558" w:type="dxa"/>
                  <w:gridSpan w:val="2"/>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看台</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303</w:t>
                  </w:r>
                </w:p>
              </w:tc>
              <w:tc>
                <w:tcPr>
                  <w:tcW w:w="1134"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sz w:val="21"/>
                      <w:szCs w:val="21"/>
                    </w:rPr>
                    <w:t>m</w:t>
                  </w:r>
                  <w:r>
                    <w:rPr>
                      <w:rFonts w:ascii="Times New Roman" w:hAnsi="Times New Roman" w:eastAsia="宋体" w:cs="Times New Roman"/>
                      <w:sz w:val="21"/>
                      <w:szCs w:val="21"/>
                      <w:vertAlign w:val="superscript"/>
                    </w:rPr>
                    <w:t>2</w:t>
                  </w:r>
                </w:p>
              </w:tc>
              <w:tc>
                <w:tcPr>
                  <w:tcW w:w="3085"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pPr>
                    <w:pStyle w:val="16"/>
                    <w:spacing w:line="240" w:lineRule="auto"/>
                    <w:jc w:val="center"/>
                    <w:rPr>
                      <w:rFonts w:ascii="Times New Roman" w:hAnsi="Times New Roman" w:eastAsia="宋体" w:cs="Times New Roman"/>
                      <w:sz w:val="21"/>
                      <w:szCs w:val="21"/>
                    </w:rPr>
                  </w:pPr>
                </w:p>
              </w:tc>
              <w:tc>
                <w:tcPr>
                  <w:tcW w:w="1558" w:type="dxa"/>
                  <w:gridSpan w:val="2"/>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保卫间</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80</w:t>
                  </w:r>
                </w:p>
              </w:tc>
              <w:tc>
                <w:tcPr>
                  <w:tcW w:w="1134"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sz w:val="21"/>
                      <w:szCs w:val="21"/>
                    </w:rPr>
                    <w:t>m</w:t>
                  </w:r>
                  <w:r>
                    <w:rPr>
                      <w:rFonts w:ascii="Times New Roman" w:hAnsi="Times New Roman" w:eastAsia="宋体" w:cs="Times New Roman"/>
                      <w:sz w:val="21"/>
                      <w:szCs w:val="21"/>
                      <w:vertAlign w:val="superscript"/>
                    </w:rPr>
                    <w:t>2</w:t>
                  </w:r>
                </w:p>
              </w:tc>
              <w:tc>
                <w:tcPr>
                  <w:tcW w:w="3085"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兼消控室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pPr>
                    <w:pStyle w:val="16"/>
                    <w:spacing w:line="240" w:lineRule="auto"/>
                    <w:jc w:val="center"/>
                    <w:rPr>
                      <w:rFonts w:ascii="Times New Roman" w:hAnsi="Times New Roman" w:eastAsia="宋体" w:cs="Times New Roman"/>
                      <w:sz w:val="21"/>
                      <w:szCs w:val="21"/>
                    </w:rPr>
                  </w:pPr>
                </w:p>
              </w:tc>
              <w:tc>
                <w:tcPr>
                  <w:tcW w:w="1558" w:type="dxa"/>
                  <w:gridSpan w:val="2"/>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出地面楼梯间</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110</w:t>
                  </w:r>
                </w:p>
              </w:tc>
              <w:tc>
                <w:tcPr>
                  <w:tcW w:w="1134" w:type="dxa"/>
                  <w:vAlign w:val="center"/>
                </w:tcPr>
                <w:p>
                  <w:pPr>
                    <w:pStyle w:val="16"/>
                    <w:spacing w:line="240" w:lineRule="auto"/>
                    <w:jc w:val="center"/>
                    <w:rPr>
                      <w:rFonts w:ascii="Times New Roman" w:hAnsi="Times New Roman" w:eastAsia="宋体" w:cs="Times New Roman"/>
                      <w:sz w:val="21"/>
                      <w:szCs w:val="21"/>
                    </w:rPr>
                  </w:pPr>
                </w:p>
              </w:tc>
              <w:tc>
                <w:tcPr>
                  <w:tcW w:w="3085" w:type="dxa"/>
                  <w:vAlign w:val="center"/>
                </w:tcPr>
                <w:p>
                  <w:pPr>
                    <w:pStyle w:val="16"/>
                    <w:spacing w:line="240" w:lineRule="auto"/>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pPr>
                    <w:pStyle w:val="16"/>
                    <w:spacing w:line="240" w:lineRule="auto"/>
                    <w:jc w:val="center"/>
                    <w:rPr>
                      <w:rFonts w:ascii="Times New Roman" w:hAnsi="Times New Roman" w:eastAsia="宋体" w:cs="Times New Roman"/>
                      <w:sz w:val="21"/>
                      <w:szCs w:val="21"/>
                    </w:rPr>
                  </w:pPr>
                </w:p>
              </w:tc>
              <w:tc>
                <w:tcPr>
                  <w:tcW w:w="1558" w:type="dxa"/>
                  <w:gridSpan w:val="2"/>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架空层</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1502</w:t>
                  </w:r>
                </w:p>
              </w:tc>
              <w:tc>
                <w:tcPr>
                  <w:tcW w:w="1134"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sz w:val="21"/>
                      <w:szCs w:val="21"/>
                    </w:rPr>
                    <w:t>m</w:t>
                  </w:r>
                  <w:r>
                    <w:rPr>
                      <w:rFonts w:ascii="Times New Roman" w:hAnsi="Times New Roman" w:eastAsia="宋体" w:cs="Times New Roman"/>
                      <w:sz w:val="21"/>
                      <w:szCs w:val="21"/>
                      <w:vertAlign w:val="superscript"/>
                    </w:rPr>
                    <w:t>2</w:t>
                  </w:r>
                </w:p>
              </w:tc>
              <w:tc>
                <w:tcPr>
                  <w:tcW w:w="3085"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4" w:type="dxa"/>
                  <w:gridSpan w:val="3"/>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地下建筑面积</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15871</w:t>
                  </w:r>
                </w:p>
              </w:tc>
              <w:tc>
                <w:tcPr>
                  <w:tcW w:w="1134"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sz w:val="21"/>
                      <w:szCs w:val="21"/>
                    </w:rPr>
                    <w:t>m</w:t>
                  </w:r>
                  <w:r>
                    <w:rPr>
                      <w:rFonts w:ascii="Times New Roman" w:hAnsi="Times New Roman" w:eastAsia="宋体" w:cs="Times New Roman"/>
                      <w:sz w:val="21"/>
                      <w:szCs w:val="21"/>
                      <w:vertAlign w:val="superscript"/>
                    </w:rPr>
                    <w:t>2</w:t>
                  </w:r>
                </w:p>
              </w:tc>
              <w:tc>
                <w:tcPr>
                  <w:tcW w:w="3085"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gridSpan w:val="2"/>
                  <w:vMerge w:val="restar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其中</w:t>
                  </w:r>
                </w:p>
              </w:tc>
              <w:tc>
                <w:tcPr>
                  <w:tcW w:w="1534"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停车库及设备辅助用房</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14236.1</w:t>
                  </w:r>
                </w:p>
              </w:tc>
              <w:tc>
                <w:tcPr>
                  <w:tcW w:w="1134"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m</w:t>
                  </w:r>
                  <w:r>
                    <w:rPr>
                      <w:rFonts w:ascii="Times New Roman" w:hAnsi="Times New Roman" w:eastAsia="宋体" w:cs="Times New Roman"/>
                      <w:sz w:val="21"/>
                      <w:szCs w:val="21"/>
                      <w:vertAlign w:val="superscript"/>
                    </w:rPr>
                    <w:t>2</w:t>
                  </w:r>
                </w:p>
              </w:tc>
              <w:tc>
                <w:tcPr>
                  <w:tcW w:w="3085" w:type="dxa"/>
                  <w:vAlign w:val="center"/>
                </w:tcPr>
                <w:p>
                  <w:pPr>
                    <w:pStyle w:val="16"/>
                    <w:spacing w:line="240" w:lineRule="auto"/>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gridSpan w:val="2"/>
                  <w:vMerge w:val="continue"/>
                  <w:vAlign w:val="center"/>
                </w:tcPr>
                <w:p>
                  <w:pPr>
                    <w:pStyle w:val="16"/>
                    <w:spacing w:line="240" w:lineRule="auto"/>
                    <w:jc w:val="center"/>
                    <w:rPr>
                      <w:rFonts w:ascii="Times New Roman" w:hAnsi="Times New Roman" w:eastAsia="宋体" w:cs="Times New Roman"/>
                      <w:sz w:val="21"/>
                      <w:szCs w:val="21"/>
                    </w:rPr>
                  </w:pPr>
                </w:p>
              </w:tc>
              <w:tc>
                <w:tcPr>
                  <w:tcW w:w="1534"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家长等候厅</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264.6</w:t>
                  </w:r>
                </w:p>
              </w:tc>
              <w:tc>
                <w:tcPr>
                  <w:tcW w:w="1134"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m</w:t>
                  </w:r>
                  <w:r>
                    <w:rPr>
                      <w:rFonts w:ascii="Times New Roman" w:hAnsi="Times New Roman" w:eastAsia="宋体" w:cs="Times New Roman"/>
                      <w:sz w:val="21"/>
                      <w:szCs w:val="21"/>
                      <w:vertAlign w:val="superscript"/>
                    </w:rPr>
                    <w:t>2</w:t>
                  </w:r>
                </w:p>
              </w:tc>
              <w:tc>
                <w:tcPr>
                  <w:tcW w:w="3085" w:type="dxa"/>
                  <w:vAlign w:val="center"/>
                </w:tcPr>
                <w:p>
                  <w:pPr>
                    <w:pStyle w:val="16"/>
                    <w:spacing w:line="240" w:lineRule="auto"/>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gridSpan w:val="2"/>
                  <w:vMerge w:val="continue"/>
                  <w:vAlign w:val="center"/>
                </w:tcPr>
                <w:p>
                  <w:pPr>
                    <w:pStyle w:val="16"/>
                    <w:spacing w:line="240" w:lineRule="auto"/>
                    <w:jc w:val="center"/>
                    <w:rPr>
                      <w:rFonts w:ascii="Times New Roman" w:hAnsi="Times New Roman" w:eastAsia="宋体" w:cs="Times New Roman"/>
                      <w:sz w:val="21"/>
                      <w:szCs w:val="21"/>
                    </w:rPr>
                  </w:pPr>
                </w:p>
              </w:tc>
              <w:tc>
                <w:tcPr>
                  <w:tcW w:w="1534"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风雨操场</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950</w:t>
                  </w:r>
                </w:p>
              </w:tc>
              <w:tc>
                <w:tcPr>
                  <w:tcW w:w="1134"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m</w:t>
                  </w:r>
                  <w:r>
                    <w:rPr>
                      <w:rFonts w:ascii="Times New Roman" w:hAnsi="Times New Roman" w:eastAsia="宋体" w:cs="Times New Roman"/>
                      <w:sz w:val="21"/>
                      <w:szCs w:val="21"/>
                      <w:vertAlign w:val="superscript"/>
                    </w:rPr>
                    <w:t>2</w:t>
                  </w:r>
                </w:p>
              </w:tc>
              <w:tc>
                <w:tcPr>
                  <w:tcW w:w="3085"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放学时兼用学生等候厅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gridSpan w:val="2"/>
                  <w:vMerge w:val="continue"/>
                  <w:vAlign w:val="center"/>
                </w:tcPr>
                <w:p>
                  <w:pPr>
                    <w:pStyle w:val="16"/>
                    <w:spacing w:line="240" w:lineRule="auto"/>
                    <w:jc w:val="center"/>
                    <w:rPr>
                      <w:rFonts w:ascii="Times New Roman" w:hAnsi="Times New Roman" w:eastAsia="宋体" w:cs="Times New Roman"/>
                      <w:sz w:val="21"/>
                      <w:szCs w:val="21"/>
                    </w:rPr>
                  </w:pPr>
                </w:p>
              </w:tc>
              <w:tc>
                <w:tcPr>
                  <w:tcW w:w="1534"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架空层</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421</w:t>
                  </w:r>
                </w:p>
              </w:tc>
              <w:tc>
                <w:tcPr>
                  <w:tcW w:w="1134"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m</w:t>
                  </w:r>
                  <w:r>
                    <w:rPr>
                      <w:rFonts w:ascii="Times New Roman" w:hAnsi="Times New Roman" w:eastAsia="宋体" w:cs="Times New Roman"/>
                      <w:sz w:val="21"/>
                      <w:szCs w:val="21"/>
                      <w:vertAlign w:val="superscript"/>
                    </w:rPr>
                    <w:t>2</w:t>
                  </w:r>
                </w:p>
              </w:tc>
              <w:tc>
                <w:tcPr>
                  <w:tcW w:w="3085" w:type="dxa"/>
                  <w:vAlign w:val="center"/>
                </w:tcPr>
                <w:p>
                  <w:pPr>
                    <w:pStyle w:val="16"/>
                    <w:spacing w:line="240" w:lineRule="auto"/>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4" w:type="dxa"/>
                  <w:gridSpan w:val="3"/>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容积率</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0.94</w:t>
                  </w:r>
                </w:p>
              </w:tc>
              <w:tc>
                <w:tcPr>
                  <w:tcW w:w="1134"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sz w:val="21"/>
                      <w:szCs w:val="21"/>
                    </w:rPr>
                    <w:t>/</w:t>
                  </w:r>
                </w:p>
              </w:tc>
              <w:tc>
                <w:tcPr>
                  <w:tcW w:w="3085"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4" w:type="dxa"/>
                  <w:gridSpan w:val="3"/>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建筑密度</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26.4</w:t>
                  </w:r>
                </w:p>
              </w:tc>
              <w:tc>
                <w:tcPr>
                  <w:tcW w:w="1134"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3085" w:type="dxa"/>
                  <w:vAlign w:val="center"/>
                </w:tcPr>
                <w:p>
                  <w:pPr>
                    <w:pStyle w:val="16"/>
                    <w:spacing w:line="240" w:lineRule="auto"/>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4" w:type="dxa"/>
                  <w:gridSpan w:val="3"/>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占地面积</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12100</w:t>
                  </w:r>
                </w:p>
              </w:tc>
              <w:tc>
                <w:tcPr>
                  <w:tcW w:w="1134"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m</w:t>
                  </w:r>
                  <w:r>
                    <w:rPr>
                      <w:rFonts w:ascii="Times New Roman" w:hAnsi="Times New Roman" w:eastAsia="宋体" w:cs="Times New Roman"/>
                      <w:sz w:val="21"/>
                      <w:szCs w:val="21"/>
                      <w:vertAlign w:val="superscript"/>
                    </w:rPr>
                    <w:t>2</w:t>
                  </w:r>
                </w:p>
              </w:tc>
              <w:tc>
                <w:tcPr>
                  <w:tcW w:w="3085" w:type="dxa"/>
                  <w:vAlign w:val="center"/>
                </w:tcPr>
                <w:p>
                  <w:pPr>
                    <w:pStyle w:val="16"/>
                    <w:spacing w:line="240" w:lineRule="auto"/>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4" w:type="dxa"/>
                  <w:gridSpan w:val="3"/>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绿地率</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35</w:t>
                  </w:r>
                </w:p>
              </w:tc>
              <w:tc>
                <w:tcPr>
                  <w:tcW w:w="1134"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m</w:t>
                  </w:r>
                  <w:r>
                    <w:rPr>
                      <w:rFonts w:ascii="Times New Roman" w:hAnsi="Times New Roman" w:eastAsia="宋体" w:cs="Times New Roman"/>
                      <w:sz w:val="21"/>
                      <w:szCs w:val="21"/>
                      <w:vertAlign w:val="superscript"/>
                    </w:rPr>
                    <w:t>2</w:t>
                  </w:r>
                </w:p>
              </w:tc>
              <w:tc>
                <w:tcPr>
                  <w:tcW w:w="3085" w:type="dxa"/>
                  <w:vAlign w:val="center"/>
                </w:tcPr>
                <w:p>
                  <w:pPr>
                    <w:pStyle w:val="16"/>
                    <w:spacing w:line="240" w:lineRule="auto"/>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4" w:type="dxa"/>
                  <w:gridSpan w:val="3"/>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绿地总面积</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16054.15</w:t>
                  </w:r>
                </w:p>
              </w:tc>
              <w:tc>
                <w:tcPr>
                  <w:tcW w:w="1134"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sz w:val="21"/>
                      <w:szCs w:val="21"/>
                    </w:rPr>
                    <w:t>m</w:t>
                  </w:r>
                  <w:r>
                    <w:rPr>
                      <w:rFonts w:ascii="Times New Roman" w:hAnsi="Times New Roman" w:eastAsia="宋体" w:cs="Times New Roman"/>
                      <w:sz w:val="21"/>
                      <w:szCs w:val="21"/>
                      <w:vertAlign w:val="superscript"/>
                    </w:rPr>
                    <w:t>2</w:t>
                  </w:r>
                </w:p>
              </w:tc>
              <w:tc>
                <w:tcPr>
                  <w:tcW w:w="3085"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4" w:type="dxa"/>
                  <w:gridSpan w:val="3"/>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机动车停车位</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328</w:t>
                  </w:r>
                </w:p>
              </w:tc>
              <w:tc>
                <w:tcPr>
                  <w:tcW w:w="1134"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辆</w:t>
                  </w:r>
                </w:p>
              </w:tc>
              <w:tc>
                <w:tcPr>
                  <w:tcW w:w="3085"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其中学生接送车位72个，教职工泊位28个，社会停车位228个，大巴车位3个，无障碍停车位8个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restar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其中</w:t>
                  </w:r>
                </w:p>
              </w:tc>
              <w:tc>
                <w:tcPr>
                  <w:tcW w:w="1558" w:type="dxa"/>
                  <w:gridSpan w:val="2"/>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地上</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w:t>
                  </w:r>
                </w:p>
              </w:tc>
              <w:tc>
                <w:tcPr>
                  <w:tcW w:w="1134"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辆</w:t>
                  </w:r>
                </w:p>
              </w:tc>
              <w:tc>
                <w:tcPr>
                  <w:tcW w:w="3085"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大巴车车位3个按照2.5倍折算7个停车位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pPr>
                    <w:pStyle w:val="16"/>
                    <w:spacing w:line="240" w:lineRule="auto"/>
                    <w:jc w:val="center"/>
                    <w:rPr>
                      <w:rFonts w:ascii="Times New Roman" w:hAnsi="Times New Roman" w:eastAsia="宋体" w:cs="Times New Roman"/>
                      <w:sz w:val="21"/>
                      <w:szCs w:val="21"/>
                    </w:rPr>
                  </w:pPr>
                </w:p>
              </w:tc>
              <w:tc>
                <w:tcPr>
                  <w:tcW w:w="1558" w:type="dxa"/>
                  <w:gridSpan w:val="2"/>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地下</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309</w:t>
                  </w:r>
                </w:p>
              </w:tc>
              <w:tc>
                <w:tcPr>
                  <w:tcW w:w="1134"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辆</w:t>
                  </w:r>
                </w:p>
              </w:tc>
              <w:tc>
                <w:tcPr>
                  <w:tcW w:w="3085"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4" w:type="dxa"/>
                  <w:gridSpan w:val="3"/>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非机动车停车位</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581</w:t>
                  </w:r>
                </w:p>
              </w:tc>
              <w:tc>
                <w:tcPr>
                  <w:tcW w:w="1134"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辆</w:t>
                  </w:r>
                </w:p>
              </w:tc>
              <w:tc>
                <w:tcPr>
                  <w:tcW w:w="3085"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其中学生接送车位120个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4" w:type="dxa"/>
                  <w:gridSpan w:val="3"/>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运动场地</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4016.89</w:t>
                  </w:r>
                </w:p>
              </w:tc>
              <w:tc>
                <w:tcPr>
                  <w:tcW w:w="1134"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m</w:t>
                  </w:r>
                  <w:r>
                    <w:rPr>
                      <w:rFonts w:ascii="Times New Roman" w:hAnsi="Times New Roman" w:eastAsia="宋体" w:cs="Times New Roman"/>
                      <w:sz w:val="21"/>
                      <w:szCs w:val="21"/>
                      <w:vertAlign w:val="superscript"/>
                    </w:rPr>
                    <w:t>2</w:t>
                  </w:r>
                </w:p>
              </w:tc>
              <w:tc>
                <w:tcPr>
                  <w:tcW w:w="3085"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6个篮球场、2个排球场、沙坑、运动器械场地等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4" w:type="dxa"/>
                  <w:gridSpan w:val="3"/>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操场</w:t>
                  </w:r>
                </w:p>
              </w:tc>
              <w:tc>
                <w:tcPr>
                  <w:tcW w:w="1275"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9120</w:t>
                  </w:r>
                </w:p>
              </w:tc>
              <w:tc>
                <w:tcPr>
                  <w:tcW w:w="1134"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m</w:t>
                  </w:r>
                  <w:r>
                    <w:rPr>
                      <w:rFonts w:ascii="Times New Roman" w:hAnsi="Times New Roman" w:eastAsia="宋体" w:cs="Times New Roman"/>
                      <w:sz w:val="21"/>
                      <w:szCs w:val="21"/>
                      <w:vertAlign w:val="superscript"/>
                    </w:rPr>
                    <w:t>2</w:t>
                  </w:r>
                </w:p>
              </w:tc>
              <w:tc>
                <w:tcPr>
                  <w:tcW w:w="3085" w:type="dxa"/>
                  <w:vAlign w:val="center"/>
                </w:tcPr>
                <w:p>
                  <w:pPr>
                    <w:pStyle w:val="16"/>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300米田径场1个</w:t>
                  </w:r>
                </w:p>
              </w:tc>
            </w:tr>
          </w:tbl>
          <w:p>
            <w:pPr>
              <w:pStyle w:val="16"/>
              <w:spacing w:before="156" w:beforeLines="50" w:line="240" w:lineRule="auto"/>
              <w:rPr>
                <w:rFonts w:ascii="Times New Roman" w:hAnsi="Times New Roman" w:eastAsia="宋体" w:cs="Times New Roman"/>
                <w:b/>
                <w:bCs/>
              </w:rPr>
            </w:pPr>
            <w:r>
              <w:rPr>
                <w:rFonts w:ascii="Times New Roman" w:hAnsi="Times New Roman" w:eastAsia="宋体" w:cs="Times New Roman"/>
                <w:b/>
                <w:bCs/>
              </w:rPr>
              <w:t>4.2</w:t>
            </w:r>
            <w:r>
              <w:rPr>
                <w:rFonts w:hint="eastAsia" w:ascii="Times New Roman" w:hAnsi="Times New Roman" w:eastAsia="宋体" w:cs="Times New Roman"/>
                <w:b/>
                <w:bCs/>
              </w:rPr>
              <w:t>教学规模</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学校设计规模45班，其中小学3</w:t>
            </w:r>
            <w:r>
              <w:rPr>
                <w:rFonts w:ascii="Times New Roman" w:hAnsi="Times New Roman" w:eastAsia="宋体" w:cs="Times New Roman"/>
              </w:rPr>
              <w:t>6</w:t>
            </w:r>
            <w:r>
              <w:rPr>
                <w:rFonts w:hint="eastAsia" w:ascii="Times New Roman" w:hAnsi="Times New Roman" w:eastAsia="宋体" w:cs="Times New Roman"/>
              </w:rPr>
              <w:t>班（含预留6班），初中1</w:t>
            </w:r>
            <w:r>
              <w:rPr>
                <w:rFonts w:ascii="Times New Roman" w:hAnsi="Times New Roman" w:eastAsia="宋体" w:cs="Times New Roman"/>
              </w:rPr>
              <w:t>8</w:t>
            </w:r>
            <w:r>
              <w:rPr>
                <w:rFonts w:hint="eastAsia" w:ascii="Times New Roman" w:hAnsi="Times New Roman" w:eastAsia="宋体" w:cs="Times New Roman"/>
              </w:rPr>
              <w:t>班（含预留3班）。小学学生人数1</w:t>
            </w:r>
            <w:r>
              <w:rPr>
                <w:rFonts w:ascii="Times New Roman" w:hAnsi="Times New Roman" w:eastAsia="宋体" w:cs="Times New Roman"/>
              </w:rPr>
              <w:t>620</w:t>
            </w:r>
            <w:r>
              <w:rPr>
                <w:rFonts w:hint="eastAsia" w:ascii="Times New Roman" w:hAnsi="Times New Roman" w:eastAsia="宋体" w:cs="Times New Roman"/>
              </w:rPr>
              <w:t>人（含预留</w:t>
            </w:r>
            <w:r>
              <w:rPr>
                <w:rFonts w:ascii="Times New Roman" w:hAnsi="Times New Roman" w:eastAsia="宋体" w:cs="Times New Roman"/>
              </w:rPr>
              <w:t>6</w:t>
            </w:r>
            <w:r>
              <w:rPr>
                <w:rFonts w:hint="eastAsia" w:ascii="Times New Roman" w:hAnsi="Times New Roman" w:eastAsia="宋体" w:cs="Times New Roman"/>
              </w:rPr>
              <w:t>个班，共</w:t>
            </w:r>
            <w:r>
              <w:rPr>
                <w:rFonts w:ascii="Times New Roman" w:hAnsi="Times New Roman" w:eastAsia="宋体" w:cs="Times New Roman"/>
              </w:rPr>
              <w:t>270</w:t>
            </w:r>
            <w:r>
              <w:rPr>
                <w:rFonts w:hint="eastAsia" w:ascii="Times New Roman" w:hAnsi="Times New Roman" w:eastAsia="宋体" w:cs="Times New Roman"/>
              </w:rPr>
              <w:t>人），初中学生人数</w:t>
            </w:r>
            <w:r>
              <w:rPr>
                <w:rFonts w:ascii="Times New Roman" w:hAnsi="Times New Roman" w:eastAsia="宋体" w:cs="Times New Roman"/>
              </w:rPr>
              <w:t>810</w:t>
            </w:r>
            <w:r>
              <w:rPr>
                <w:rFonts w:hint="eastAsia" w:ascii="Times New Roman" w:hAnsi="Times New Roman" w:eastAsia="宋体" w:cs="Times New Roman"/>
              </w:rPr>
              <w:t>人（含预留</w:t>
            </w:r>
            <w:r>
              <w:rPr>
                <w:rFonts w:ascii="Times New Roman" w:hAnsi="Times New Roman" w:eastAsia="宋体" w:cs="Times New Roman"/>
              </w:rPr>
              <w:t>3</w:t>
            </w:r>
            <w:r>
              <w:rPr>
                <w:rFonts w:hint="eastAsia" w:ascii="Times New Roman" w:hAnsi="Times New Roman" w:eastAsia="宋体" w:cs="Times New Roman"/>
              </w:rPr>
              <w:t>个班，共</w:t>
            </w:r>
            <w:r>
              <w:rPr>
                <w:rFonts w:ascii="Times New Roman" w:hAnsi="Times New Roman" w:eastAsia="宋体" w:cs="Times New Roman"/>
              </w:rPr>
              <w:t>135</w:t>
            </w:r>
            <w:r>
              <w:rPr>
                <w:rFonts w:hint="eastAsia" w:ascii="Times New Roman" w:hAnsi="Times New Roman" w:eastAsia="宋体" w:cs="Times New Roman"/>
              </w:rPr>
              <w:t>人），共计2</w:t>
            </w:r>
            <w:r>
              <w:rPr>
                <w:rFonts w:ascii="Times New Roman" w:hAnsi="Times New Roman" w:eastAsia="宋体" w:cs="Times New Roman"/>
              </w:rPr>
              <w:t>430</w:t>
            </w:r>
            <w:r>
              <w:rPr>
                <w:rFonts w:hint="eastAsia" w:ascii="Times New Roman" w:hAnsi="Times New Roman" w:eastAsia="宋体" w:cs="Times New Roman"/>
              </w:rPr>
              <w:t>人（含预留9个班，共405人）。学校教职工人数共137人，其中小学教职工91人，中学教职工46人。</w:t>
            </w:r>
          </w:p>
          <w:p>
            <w:pPr>
              <w:pStyle w:val="16"/>
              <w:jc w:val="left"/>
              <w:rPr>
                <w:rFonts w:ascii="Times New Roman" w:hAnsi="Times New Roman" w:eastAsia="宋体" w:cs="Times New Roman"/>
                <w:b/>
                <w:bCs/>
              </w:rPr>
            </w:pPr>
            <w:r>
              <w:rPr>
                <w:rFonts w:hint="eastAsia" w:ascii="Times New Roman" w:hAnsi="Times New Roman" w:eastAsia="宋体" w:cs="Times New Roman"/>
                <w:b/>
                <w:bCs/>
              </w:rPr>
              <w:t>4</w:t>
            </w:r>
            <w:r>
              <w:rPr>
                <w:rFonts w:ascii="Times New Roman" w:hAnsi="Times New Roman" w:eastAsia="宋体" w:cs="Times New Roman"/>
                <w:b/>
                <w:bCs/>
              </w:rPr>
              <w:t>.4</w:t>
            </w:r>
            <w:r>
              <w:rPr>
                <w:rFonts w:hint="eastAsia" w:ascii="Times New Roman" w:hAnsi="Times New Roman" w:eastAsia="宋体" w:cs="Times New Roman"/>
                <w:b/>
                <w:bCs/>
              </w:rPr>
              <w:t>主要设备</w:t>
            </w:r>
          </w:p>
          <w:p>
            <w:pPr>
              <w:pStyle w:val="16"/>
              <w:ind w:firstLine="480" w:firstLineChars="200"/>
              <w:jc w:val="left"/>
              <w:rPr>
                <w:rFonts w:ascii="Times New Roman" w:hAnsi="Times New Roman" w:eastAsia="宋体" w:cs="Times New Roman"/>
              </w:rPr>
            </w:pPr>
            <w:r>
              <w:rPr>
                <w:rFonts w:ascii="Times New Roman" w:hAnsi="Times New Roman" w:eastAsia="宋体" w:cs="Times New Roman"/>
              </w:rPr>
              <w:t>本项目主要</w:t>
            </w:r>
            <w:r>
              <w:rPr>
                <w:rFonts w:hint="eastAsia" w:ascii="Times New Roman" w:hAnsi="Times New Roman" w:eastAsia="宋体" w:cs="Times New Roman"/>
              </w:rPr>
              <w:t>公共设施见表2</w:t>
            </w:r>
            <w:r>
              <w:rPr>
                <w:rFonts w:ascii="Times New Roman" w:hAnsi="Times New Roman" w:eastAsia="宋体" w:cs="Times New Roman"/>
              </w:rPr>
              <w:t>-3</w:t>
            </w:r>
            <w:r>
              <w:rPr>
                <w:rFonts w:hint="eastAsia" w:ascii="Times New Roman" w:hAnsi="Times New Roman" w:eastAsia="宋体" w:cs="Times New Roman"/>
              </w:rPr>
              <w:t>。</w:t>
            </w:r>
          </w:p>
          <w:p>
            <w:pPr>
              <w:pStyle w:val="16"/>
              <w:spacing w:before="156" w:beforeLines="50" w:line="24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表2</w:t>
            </w:r>
            <w:r>
              <w:rPr>
                <w:rFonts w:ascii="Times New Roman" w:hAnsi="Times New Roman" w:eastAsia="宋体" w:cs="Times New Roman"/>
                <w:b/>
                <w:bCs/>
                <w:sz w:val="21"/>
                <w:szCs w:val="21"/>
              </w:rPr>
              <w:t>-3</w:t>
            </w:r>
            <w:r>
              <w:rPr>
                <w:rFonts w:hint="eastAsia" w:ascii="Times New Roman" w:hAnsi="Times New Roman" w:eastAsia="宋体" w:cs="Times New Roman"/>
                <w:b/>
                <w:bCs/>
                <w:sz w:val="21"/>
                <w:szCs w:val="21"/>
              </w:rPr>
              <w:t xml:space="preserve"> 公共设施一览表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3409"/>
              <w:gridCol w:w="3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vAlign w:val="center"/>
                </w:tcPr>
                <w:p>
                  <w:pPr>
                    <w:pStyle w:val="16"/>
                    <w:spacing w:line="24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序号</w:t>
                  </w:r>
                </w:p>
              </w:tc>
              <w:tc>
                <w:tcPr>
                  <w:tcW w:w="2233" w:type="pct"/>
                  <w:vAlign w:val="center"/>
                </w:tcPr>
                <w:p>
                  <w:pPr>
                    <w:pStyle w:val="16"/>
                    <w:spacing w:line="24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设备名称</w:t>
                  </w:r>
                </w:p>
              </w:tc>
              <w:tc>
                <w:tcPr>
                  <w:tcW w:w="2157" w:type="pct"/>
                  <w:vAlign w:val="center"/>
                </w:tcPr>
                <w:p>
                  <w:pPr>
                    <w:pStyle w:val="16"/>
                    <w:spacing w:line="24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数量</w:t>
                  </w:r>
                  <w:r>
                    <w:rPr>
                      <w:rFonts w:hint="eastAsia" w:ascii="Times New Roman" w:hAnsi="Times New Roman" w:eastAsia="宋体" w:cs="Times New Roman"/>
                      <w:b/>
                      <w:bCs/>
                      <w:sz w:val="21"/>
                      <w:szCs w:val="21"/>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c>
                <w:tcPr>
                  <w:tcW w:w="2233"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消火栓加压水泵</w:t>
                  </w:r>
                </w:p>
              </w:tc>
              <w:tc>
                <w:tcPr>
                  <w:tcW w:w="2157"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2（一用一备）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2233"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自动喷淋加压水泵</w:t>
                  </w:r>
                </w:p>
              </w:tc>
              <w:tc>
                <w:tcPr>
                  <w:tcW w:w="2157"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2（一用一备）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w:t>
                  </w:r>
                </w:p>
              </w:tc>
              <w:tc>
                <w:tcPr>
                  <w:tcW w:w="2233"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湿式报警阀</w:t>
                  </w:r>
                </w:p>
              </w:tc>
              <w:tc>
                <w:tcPr>
                  <w:tcW w:w="2157"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w:t>
                  </w:r>
                </w:p>
              </w:tc>
              <w:tc>
                <w:tcPr>
                  <w:tcW w:w="2233"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直饮水中央处理设备</w:t>
                  </w:r>
                </w:p>
              </w:tc>
              <w:tc>
                <w:tcPr>
                  <w:tcW w:w="2157"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w:t>
                  </w:r>
                </w:p>
              </w:tc>
              <w:tc>
                <w:tcPr>
                  <w:tcW w:w="2233"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屋顶消防水箱</w:t>
                  </w:r>
                </w:p>
              </w:tc>
              <w:tc>
                <w:tcPr>
                  <w:tcW w:w="2157"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1套（18吨）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w:t>
                  </w:r>
                </w:p>
              </w:tc>
              <w:tc>
                <w:tcPr>
                  <w:tcW w:w="2233"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屋顶生活储热水罐</w:t>
                  </w:r>
                </w:p>
              </w:tc>
              <w:tc>
                <w:tcPr>
                  <w:tcW w:w="2157"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w:t>
                  </w:r>
                </w:p>
              </w:tc>
              <w:tc>
                <w:tcPr>
                  <w:tcW w:w="2233"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空气源热泵机组</w:t>
                  </w:r>
                </w:p>
              </w:tc>
              <w:tc>
                <w:tcPr>
                  <w:tcW w:w="2157"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w:t>
                  </w:r>
                </w:p>
              </w:tc>
              <w:tc>
                <w:tcPr>
                  <w:tcW w:w="2233"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消防水泵接合器</w:t>
                  </w:r>
                </w:p>
              </w:tc>
              <w:tc>
                <w:tcPr>
                  <w:tcW w:w="2157"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w:t>
                  </w:r>
                </w:p>
              </w:tc>
              <w:tc>
                <w:tcPr>
                  <w:tcW w:w="2233"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雨水回用设备</w:t>
                  </w:r>
                </w:p>
              </w:tc>
              <w:tc>
                <w:tcPr>
                  <w:tcW w:w="2157"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w:t>
                  </w:r>
                </w:p>
              </w:tc>
              <w:tc>
                <w:tcPr>
                  <w:tcW w:w="2233"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人防生活水箱</w:t>
                  </w:r>
                </w:p>
              </w:tc>
              <w:tc>
                <w:tcPr>
                  <w:tcW w:w="2157"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w:t>
                  </w:r>
                </w:p>
              </w:tc>
              <w:tc>
                <w:tcPr>
                  <w:tcW w:w="2233"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人防饮用水箱</w:t>
                  </w:r>
                </w:p>
              </w:tc>
              <w:tc>
                <w:tcPr>
                  <w:tcW w:w="2157"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w:t>
                  </w:r>
                </w:p>
              </w:tc>
              <w:tc>
                <w:tcPr>
                  <w:tcW w:w="2233"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水箱自洁消毒器</w:t>
                  </w:r>
                </w:p>
              </w:tc>
              <w:tc>
                <w:tcPr>
                  <w:tcW w:w="2157"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w:t>
                  </w:r>
                </w:p>
              </w:tc>
              <w:tc>
                <w:tcPr>
                  <w:tcW w:w="2233"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空调室外机组</w:t>
                  </w:r>
                </w:p>
              </w:tc>
              <w:tc>
                <w:tcPr>
                  <w:tcW w:w="2157" w:type="pct"/>
                  <w:vAlign w:val="center"/>
                </w:tcPr>
                <w:p>
                  <w:pPr>
                    <w:pStyle w:val="16"/>
                    <w:spacing w:line="240" w:lineRule="auto"/>
                    <w:jc w:val="center"/>
                    <w:rPr>
                      <w:rFonts w:ascii="Times New Roman" w:hAnsi="Times New Roman" w:cs="Times New Roman"/>
                      <w:sz w:val="21"/>
                      <w:szCs w:val="21"/>
                    </w:rPr>
                  </w:pPr>
                  <w:r>
                    <w:rPr>
                      <w:rFonts w:ascii="Times New Roman" w:hAnsi="Times New Roman" w:eastAsia="宋体" w:cs="Times New Roman"/>
                      <w:sz w:val="21"/>
                      <w:szCs w:val="21"/>
                    </w:rPr>
                    <w:t>18台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w:t>
                  </w:r>
                </w:p>
              </w:tc>
              <w:tc>
                <w:tcPr>
                  <w:tcW w:w="2233"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室内消火栓</w:t>
                  </w:r>
                </w:p>
              </w:tc>
              <w:tc>
                <w:tcPr>
                  <w:tcW w:w="2157"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按需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w:t>
                  </w:r>
                </w:p>
              </w:tc>
              <w:tc>
                <w:tcPr>
                  <w:tcW w:w="2233"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潜水排污泵</w:t>
                  </w:r>
                </w:p>
              </w:tc>
              <w:tc>
                <w:tcPr>
                  <w:tcW w:w="2157"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按实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16</w:t>
                  </w:r>
                </w:p>
              </w:tc>
              <w:tc>
                <w:tcPr>
                  <w:tcW w:w="2233"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自喷喷头</w:t>
                  </w:r>
                </w:p>
              </w:tc>
              <w:tc>
                <w:tcPr>
                  <w:tcW w:w="2157" w:type="pct"/>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按实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pPr>
                    <w:pStyle w:val="16"/>
                    <w:jc w:val="left"/>
                    <w:rPr>
                      <w:rFonts w:ascii="Times New Roman" w:hAnsi="Times New Roman" w:eastAsia="宋体" w:cs="Times New Roman"/>
                      <w:sz w:val="21"/>
                      <w:szCs w:val="21"/>
                    </w:rPr>
                  </w:pPr>
                  <w:r>
                    <w:rPr>
                      <w:rFonts w:hint="eastAsia" w:ascii="Times New Roman" w:hAnsi="Times New Roman" w:eastAsia="宋体" w:cs="Times New Roman"/>
                      <w:bCs/>
                      <w:sz w:val="21"/>
                      <w:szCs w:val="21"/>
                    </w:rPr>
                    <w:t>注：设备以实际建成为准。</w:t>
                  </w:r>
                </w:p>
              </w:tc>
            </w:tr>
          </w:tbl>
          <w:p>
            <w:pPr>
              <w:pStyle w:val="54"/>
              <w:spacing w:before="158"/>
              <w:ind w:left="588"/>
              <w:rPr>
                <w:rFonts w:ascii="Times New Roman" w:hAnsi="Times New Roman" w:cs="Times New Roman"/>
                <w:kern w:val="2"/>
                <w:sz w:val="24"/>
                <w:szCs w:val="24"/>
                <w:lang w:eastAsia="zh-CN"/>
              </w:rPr>
            </w:pPr>
            <w:r>
              <w:rPr>
                <w:rFonts w:hint="eastAsia" w:ascii="Times New Roman" w:hAnsi="Times New Roman" w:cs="Times New Roman"/>
                <w:kern w:val="2"/>
                <w:sz w:val="24"/>
                <w:szCs w:val="24"/>
                <w:lang w:eastAsia="zh-CN"/>
              </w:rPr>
              <w:t>学校实验室主要仪器设备情况见下表。</w:t>
            </w:r>
          </w:p>
          <w:p>
            <w:pPr>
              <w:pStyle w:val="16"/>
              <w:spacing w:before="156" w:beforeLines="50" w:line="24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表2-4 项目实验室及医务室主要设备清单</w:t>
            </w:r>
          </w:p>
          <w:tbl>
            <w:tblPr>
              <w:tblStyle w:val="31"/>
              <w:tblW w:w="4977"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786"/>
              <w:gridCol w:w="2724"/>
              <w:gridCol w:w="2465"/>
              <w:gridCol w:w="16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序号</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设备名称</w:t>
                  </w:r>
                </w:p>
              </w:tc>
              <w:tc>
                <w:tcPr>
                  <w:tcW w:w="1624"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数量（单位：个）</w:t>
                  </w:r>
                </w:p>
              </w:tc>
              <w:tc>
                <w:tcPr>
                  <w:tcW w:w="1061"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1</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刻度尺</w:t>
                  </w:r>
                </w:p>
              </w:tc>
              <w:tc>
                <w:tcPr>
                  <w:tcW w:w="1624"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若干</w:t>
                  </w:r>
                </w:p>
              </w:tc>
              <w:tc>
                <w:tcPr>
                  <w:tcW w:w="1061" w:type="pct"/>
                  <w:vMerge w:val="restar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物理实验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2</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弹簧测力计</w:t>
                  </w:r>
                </w:p>
              </w:tc>
              <w:tc>
                <w:tcPr>
                  <w:tcW w:w="1624"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若干</w:t>
                  </w:r>
                </w:p>
              </w:tc>
              <w:tc>
                <w:tcPr>
                  <w:tcW w:w="1061" w:type="pct"/>
                  <w:vMerge w:val="continue"/>
                  <w:tcBorders>
                    <w:top w:val="nil"/>
                    <w:left w:val="single" w:color="000000" w:sz="4" w:space="0"/>
                    <w:bottom w:val="single" w:color="000000" w:sz="4" w:space="0"/>
                    <w:right w:val="single" w:color="000000" w:sz="4" w:space="0"/>
                  </w:tcBorders>
                  <w:vAlign w:val="center"/>
                </w:tcPr>
                <w:p>
                  <w:pPr>
                    <w:autoSpaceDE w:val="0"/>
                    <w:autoSpaceDN w:val="0"/>
                    <w:spacing w:line="240" w:lineRule="auto"/>
                    <w:jc w:val="cente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3</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杠杆</w:t>
                  </w:r>
                </w:p>
              </w:tc>
              <w:tc>
                <w:tcPr>
                  <w:tcW w:w="1624"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若干</w:t>
                  </w:r>
                </w:p>
              </w:tc>
              <w:tc>
                <w:tcPr>
                  <w:tcW w:w="1061" w:type="pct"/>
                  <w:vMerge w:val="continue"/>
                  <w:tcBorders>
                    <w:top w:val="nil"/>
                    <w:left w:val="single" w:color="000000" w:sz="4" w:space="0"/>
                    <w:bottom w:val="single" w:color="000000" w:sz="4" w:space="0"/>
                    <w:right w:val="single" w:color="000000" w:sz="4" w:space="0"/>
                  </w:tcBorders>
                  <w:vAlign w:val="center"/>
                </w:tcPr>
                <w:p>
                  <w:pPr>
                    <w:autoSpaceDE w:val="0"/>
                    <w:autoSpaceDN w:val="0"/>
                    <w:spacing w:line="240" w:lineRule="auto"/>
                    <w:jc w:val="cente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4</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电流表</w:t>
                  </w:r>
                </w:p>
              </w:tc>
              <w:tc>
                <w:tcPr>
                  <w:tcW w:w="1624"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30</w:t>
                  </w:r>
                </w:p>
              </w:tc>
              <w:tc>
                <w:tcPr>
                  <w:tcW w:w="1061" w:type="pct"/>
                  <w:vMerge w:val="continue"/>
                  <w:tcBorders>
                    <w:top w:val="nil"/>
                    <w:left w:val="single" w:color="000000" w:sz="4" w:space="0"/>
                    <w:bottom w:val="single" w:color="000000" w:sz="4" w:space="0"/>
                    <w:right w:val="single" w:color="000000" w:sz="4" w:space="0"/>
                  </w:tcBorders>
                  <w:vAlign w:val="center"/>
                </w:tcPr>
                <w:p>
                  <w:pPr>
                    <w:autoSpaceDE w:val="0"/>
                    <w:autoSpaceDN w:val="0"/>
                    <w:spacing w:line="240" w:lineRule="auto"/>
                    <w:jc w:val="cente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5</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电压表</w:t>
                  </w:r>
                </w:p>
              </w:tc>
              <w:tc>
                <w:tcPr>
                  <w:tcW w:w="1624"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30</w:t>
                  </w:r>
                </w:p>
              </w:tc>
              <w:tc>
                <w:tcPr>
                  <w:tcW w:w="1061" w:type="pct"/>
                  <w:vMerge w:val="continue"/>
                  <w:tcBorders>
                    <w:top w:val="nil"/>
                    <w:left w:val="single" w:color="000000" w:sz="4" w:space="0"/>
                    <w:bottom w:val="single" w:color="000000" w:sz="4" w:space="0"/>
                    <w:right w:val="single" w:color="000000" w:sz="4" w:space="0"/>
                  </w:tcBorders>
                  <w:vAlign w:val="center"/>
                </w:tcPr>
                <w:p>
                  <w:pPr>
                    <w:autoSpaceDE w:val="0"/>
                    <w:autoSpaceDN w:val="0"/>
                    <w:spacing w:line="240" w:lineRule="auto"/>
                    <w:jc w:val="cente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6</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电路板</w:t>
                  </w:r>
                </w:p>
              </w:tc>
              <w:tc>
                <w:tcPr>
                  <w:tcW w:w="1624"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30</w:t>
                  </w:r>
                </w:p>
              </w:tc>
              <w:tc>
                <w:tcPr>
                  <w:tcW w:w="1061" w:type="pct"/>
                  <w:vMerge w:val="continue"/>
                  <w:tcBorders>
                    <w:top w:val="nil"/>
                    <w:left w:val="single" w:color="000000" w:sz="4" w:space="0"/>
                    <w:bottom w:val="single" w:color="auto" w:sz="4" w:space="0"/>
                    <w:right w:val="single" w:color="000000" w:sz="4" w:space="0"/>
                  </w:tcBorders>
                  <w:vAlign w:val="center"/>
                </w:tcPr>
                <w:p>
                  <w:pPr>
                    <w:autoSpaceDE w:val="0"/>
                    <w:autoSpaceDN w:val="0"/>
                    <w:spacing w:line="240" w:lineRule="auto"/>
                    <w:jc w:val="cente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7</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玻璃试管</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若干</w:t>
                  </w:r>
                </w:p>
              </w:tc>
              <w:tc>
                <w:tcPr>
                  <w:tcW w:w="1061" w:type="pct"/>
                  <w:vMerge w:val="restart"/>
                  <w:tcBorders>
                    <w:top w:val="single" w:color="auto" w:sz="4" w:space="0"/>
                    <w:left w:val="single" w:color="auto"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化学实验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8</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烧杯</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300</w:t>
                  </w:r>
                </w:p>
              </w:tc>
              <w:tc>
                <w:tcPr>
                  <w:tcW w:w="1061" w:type="pct"/>
                  <w:vMerge w:val="continue"/>
                  <w:tcBorders>
                    <w:left w:val="single" w:color="auto" w:sz="4" w:space="0"/>
                    <w:right w:val="single" w:color="auto" w:sz="4" w:space="0"/>
                  </w:tcBorders>
                  <w:vAlign w:val="center"/>
                </w:tcPr>
                <w:p>
                  <w:pPr>
                    <w:pStyle w:val="54"/>
                    <w:jc w:val="center"/>
                    <w:rPr>
                      <w:rFonts w:ascii="Times New Roman" w:hAnsi="Times New Roman" w:cs="Times New Roman"/>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9</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研钵</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150</w:t>
                  </w:r>
                </w:p>
              </w:tc>
              <w:tc>
                <w:tcPr>
                  <w:tcW w:w="1061" w:type="pct"/>
                  <w:vMerge w:val="continue"/>
                  <w:tcBorders>
                    <w:left w:val="single" w:color="auto" w:sz="4" w:space="0"/>
                    <w:right w:val="single" w:color="auto" w:sz="4" w:space="0"/>
                  </w:tcBorders>
                  <w:vAlign w:val="center"/>
                </w:tcPr>
                <w:p>
                  <w:pPr>
                    <w:pStyle w:val="54"/>
                    <w:jc w:val="center"/>
                    <w:rPr>
                      <w:rFonts w:ascii="Times New Roman" w:hAnsi="Times New Roman" w:cs="Times New Roman"/>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10</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铁架台</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150</w:t>
                  </w:r>
                </w:p>
              </w:tc>
              <w:tc>
                <w:tcPr>
                  <w:tcW w:w="1061" w:type="pct"/>
                  <w:vMerge w:val="continue"/>
                  <w:tcBorders>
                    <w:left w:val="single" w:color="auto" w:sz="4" w:space="0"/>
                    <w:right w:val="single" w:color="auto" w:sz="4" w:space="0"/>
                  </w:tcBorders>
                  <w:vAlign w:val="center"/>
                </w:tcPr>
                <w:p>
                  <w:pPr>
                    <w:pStyle w:val="54"/>
                    <w:jc w:val="center"/>
                    <w:rPr>
                      <w:rFonts w:ascii="Times New Roman" w:hAnsi="Times New Roman" w:cs="Times New Roman"/>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11</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玻璃瓶</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若干</w:t>
                  </w:r>
                </w:p>
              </w:tc>
              <w:tc>
                <w:tcPr>
                  <w:tcW w:w="1061" w:type="pct"/>
                  <w:vMerge w:val="continue"/>
                  <w:tcBorders>
                    <w:left w:val="single" w:color="auto" w:sz="4" w:space="0"/>
                    <w:right w:val="single" w:color="auto" w:sz="4" w:space="0"/>
                  </w:tcBorders>
                  <w:vAlign w:val="center"/>
                </w:tcPr>
                <w:p>
                  <w:pPr>
                    <w:pStyle w:val="54"/>
                    <w:jc w:val="center"/>
                    <w:rPr>
                      <w:rFonts w:ascii="Times New Roman" w:hAnsi="Times New Roman" w:cs="Times New Roman"/>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12</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乳胶管</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若干</w:t>
                  </w:r>
                </w:p>
              </w:tc>
              <w:tc>
                <w:tcPr>
                  <w:tcW w:w="1061" w:type="pct"/>
                  <w:vMerge w:val="continue"/>
                  <w:tcBorders>
                    <w:left w:val="single" w:color="auto" w:sz="4" w:space="0"/>
                    <w:right w:val="single" w:color="auto" w:sz="4" w:space="0"/>
                  </w:tcBorders>
                  <w:vAlign w:val="center"/>
                </w:tcPr>
                <w:p>
                  <w:pPr>
                    <w:pStyle w:val="54"/>
                    <w:jc w:val="center"/>
                    <w:rPr>
                      <w:rFonts w:ascii="Times New Roman" w:hAnsi="Times New Roman" w:cs="Times New Roman"/>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13</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集气瓶</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200</w:t>
                  </w:r>
                </w:p>
              </w:tc>
              <w:tc>
                <w:tcPr>
                  <w:tcW w:w="1061" w:type="pct"/>
                  <w:vMerge w:val="continue"/>
                  <w:tcBorders>
                    <w:left w:val="single" w:color="auto" w:sz="4" w:space="0"/>
                    <w:right w:val="single" w:color="auto" w:sz="4" w:space="0"/>
                  </w:tcBorders>
                  <w:vAlign w:val="center"/>
                </w:tcPr>
                <w:p>
                  <w:pPr>
                    <w:pStyle w:val="54"/>
                    <w:jc w:val="center"/>
                    <w:rPr>
                      <w:rFonts w:ascii="Times New Roman" w:hAnsi="Times New Roman" w:cs="Times New Roman"/>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14</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胶头滴管</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若干</w:t>
                  </w:r>
                </w:p>
              </w:tc>
              <w:tc>
                <w:tcPr>
                  <w:tcW w:w="1061" w:type="pct"/>
                  <w:vMerge w:val="continue"/>
                  <w:tcBorders>
                    <w:left w:val="single" w:color="auto" w:sz="4" w:space="0"/>
                    <w:right w:val="single" w:color="auto" w:sz="4" w:space="0"/>
                  </w:tcBorders>
                  <w:vAlign w:val="center"/>
                </w:tcPr>
                <w:p>
                  <w:pPr>
                    <w:pStyle w:val="54"/>
                    <w:jc w:val="center"/>
                    <w:rPr>
                      <w:rFonts w:ascii="Times New Roman" w:hAnsi="Times New Roman" w:cs="Times New Roman"/>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15</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镊子</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若干</w:t>
                  </w:r>
                </w:p>
              </w:tc>
              <w:tc>
                <w:tcPr>
                  <w:tcW w:w="1061" w:type="pct"/>
                  <w:vMerge w:val="continue"/>
                  <w:tcBorders>
                    <w:left w:val="single" w:color="auto" w:sz="4" w:space="0"/>
                    <w:right w:val="single" w:color="auto" w:sz="4" w:space="0"/>
                  </w:tcBorders>
                  <w:vAlign w:val="center"/>
                </w:tcPr>
                <w:p>
                  <w:pPr>
                    <w:pStyle w:val="54"/>
                    <w:jc w:val="center"/>
                    <w:rPr>
                      <w:rFonts w:ascii="Times New Roman" w:hAnsi="Times New Roman" w:cs="Times New Roman"/>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16</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火柴</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若干</w:t>
                  </w:r>
                </w:p>
              </w:tc>
              <w:tc>
                <w:tcPr>
                  <w:tcW w:w="1061" w:type="pct"/>
                  <w:vMerge w:val="continue"/>
                  <w:tcBorders>
                    <w:left w:val="single" w:color="auto" w:sz="4" w:space="0"/>
                    <w:right w:val="single" w:color="auto" w:sz="4" w:space="0"/>
                  </w:tcBorders>
                  <w:vAlign w:val="center"/>
                </w:tcPr>
                <w:p>
                  <w:pPr>
                    <w:pStyle w:val="54"/>
                    <w:jc w:val="center"/>
                    <w:rPr>
                      <w:rFonts w:ascii="Times New Roman" w:hAnsi="Times New Roman" w:cs="Times New Roman"/>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17</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石棉网</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若干（张）</w:t>
                  </w:r>
                </w:p>
              </w:tc>
              <w:tc>
                <w:tcPr>
                  <w:tcW w:w="1061" w:type="pct"/>
                  <w:vMerge w:val="continue"/>
                  <w:tcBorders>
                    <w:left w:val="single" w:color="auto" w:sz="4" w:space="0"/>
                    <w:right w:val="single" w:color="auto" w:sz="4" w:space="0"/>
                  </w:tcBorders>
                  <w:vAlign w:val="center"/>
                </w:tcPr>
                <w:p>
                  <w:pPr>
                    <w:pStyle w:val="54"/>
                    <w:jc w:val="center"/>
                    <w:rPr>
                      <w:rFonts w:ascii="Times New Roman" w:hAnsi="Times New Roman" w:cs="Times New Roman"/>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18</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牛角管</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若干</w:t>
                  </w:r>
                </w:p>
              </w:tc>
              <w:tc>
                <w:tcPr>
                  <w:tcW w:w="1061" w:type="pct"/>
                  <w:vMerge w:val="continue"/>
                  <w:tcBorders>
                    <w:left w:val="single" w:color="auto" w:sz="4" w:space="0"/>
                    <w:right w:val="single" w:color="auto" w:sz="4" w:space="0"/>
                  </w:tcBorders>
                  <w:vAlign w:val="center"/>
                </w:tcPr>
                <w:p>
                  <w:pPr>
                    <w:pStyle w:val="54"/>
                    <w:jc w:val="center"/>
                    <w:rPr>
                      <w:rFonts w:ascii="Times New Roman" w:hAnsi="Times New Roman" w:cs="Times New Roman"/>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19</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锥形瓶</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200</w:t>
                  </w:r>
                </w:p>
              </w:tc>
              <w:tc>
                <w:tcPr>
                  <w:tcW w:w="1061" w:type="pct"/>
                  <w:vMerge w:val="continue"/>
                  <w:tcBorders>
                    <w:left w:val="single" w:color="auto" w:sz="4" w:space="0"/>
                    <w:right w:val="single" w:color="auto" w:sz="4" w:space="0"/>
                  </w:tcBorders>
                  <w:vAlign w:val="center"/>
                </w:tcPr>
                <w:p>
                  <w:pPr>
                    <w:pStyle w:val="54"/>
                    <w:jc w:val="center"/>
                    <w:rPr>
                      <w:rFonts w:ascii="Times New Roman" w:hAnsi="Times New Roman" w:cs="Times New Roman"/>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20</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冷凝器</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若干</w:t>
                  </w:r>
                </w:p>
              </w:tc>
              <w:tc>
                <w:tcPr>
                  <w:tcW w:w="1061" w:type="pct"/>
                  <w:vMerge w:val="continue"/>
                  <w:tcBorders>
                    <w:left w:val="single" w:color="auto" w:sz="4" w:space="0"/>
                    <w:right w:val="single" w:color="auto" w:sz="4" w:space="0"/>
                  </w:tcBorders>
                  <w:vAlign w:val="center"/>
                </w:tcPr>
                <w:p>
                  <w:pPr>
                    <w:pStyle w:val="54"/>
                    <w:jc w:val="center"/>
                    <w:rPr>
                      <w:rFonts w:ascii="Times New Roman" w:hAnsi="Times New Roman" w:cs="Times New Roman"/>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21</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单孔塞</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若干</w:t>
                  </w:r>
                </w:p>
              </w:tc>
              <w:tc>
                <w:tcPr>
                  <w:tcW w:w="1061" w:type="pct"/>
                  <w:vMerge w:val="continue"/>
                  <w:tcBorders>
                    <w:left w:val="single" w:color="auto" w:sz="4" w:space="0"/>
                    <w:right w:val="single" w:color="auto" w:sz="4" w:space="0"/>
                  </w:tcBorders>
                  <w:vAlign w:val="center"/>
                </w:tcPr>
                <w:p>
                  <w:pPr>
                    <w:pStyle w:val="54"/>
                    <w:jc w:val="center"/>
                    <w:rPr>
                      <w:rFonts w:ascii="Times New Roman" w:hAnsi="Times New Roman" w:cs="Times New Roman"/>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23</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坩埚钳</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若干</w:t>
                  </w:r>
                </w:p>
              </w:tc>
              <w:tc>
                <w:tcPr>
                  <w:tcW w:w="1061" w:type="pct"/>
                  <w:vMerge w:val="continue"/>
                  <w:tcBorders>
                    <w:left w:val="single" w:color="auto" w:sz="4" w:space="0"/>
                    <w:right w:val="single" w:color="auto" w:sz="4" w:space="0"/>
                  </w:tcBorders>
                  <w:vAlign w:val="center"/>
                </w:tcPr>
                <w:p>
                  <w:pPr>
                    <w:pStyle w:val="54"/>
                    <w:jc w:val="center"/>
                    <w:rPr>
                      <w:rFonts w:ascii="Times New Roman" w:hAnsi="Times New Roman" w:cs="Times New Roman"/>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24</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托盘天平</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100</w:t>
                  </w:r>
                </w:p>
              </w:tc>
              <w:tc>
                <w:tcPr>
                  <w:tcW w:w="1061" w:type="pct"/>
                  <w:vMerge w:val="continue"/>
                  <w:tcBorders>
                    <w:left w:val="single" w:color="auto" w:sz="4" w:space="0"/>
                    <w:right w:val="single" w:color="auto" w:sz="4" w:space="0"/>
                  </w:tcBorders>
                  <w:vAlign w:val="center"/>
                </w:tcPr>
                <w:p>
                  <w:pPr>
                    <w:pStyle w:val="54"/>
                    <w:jc w:val="center"/>
                    <w:rPr>
                      <w:rFonts w:ascii="Times New Roman" w:hAnsi="Times New Roman" w:cs="Times New Roman"/>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25</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滴管</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若干</w:t>
                  </w:r>
                </w:p>
              </w:tc>
              <w:tc>
                <w:tcPr>
                  <w:tcW w:w="1061" w:type="pct"/>
                  <w:vMerge w:val="continue"/>
                  <w:tcBorders>
                    <w:left w:val="single" w:color="auto" w:sz="4" w:space="0"/>
                    <w:right w:val="single" w:color="auto" w:sz="4" w:space="0"/>
                  </w:tcBorders>
                  <w:vAlign w:val="center"/>
                </w:tcPr>
                <w:p>
                  <w:pPr>
                    <w:pStyle w:val="54"/>
                    <w:jc w:val="center"/>
                    <w:rPr>
                      <w:rFonts w:ascii="Times New Roman" w:hAnsi="Times New Roman" w:cs="Times New Roman"/>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26</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玻璃棒</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若干</w:t>
                  </w:r>
                </w:p>
              </w:tc>
              <w:tc>
                <w:tcPr>
                  <w:tcW w:w="1061" w:type="pct"/>
                  <w:vMerge w:val="continue"/>
                  <w:tcBorders>
                    <w:left w:val="single" w:color="auto" w:sz="4" w:space="0"/>
                    <w:right w:val="single" w:color="auto" w:sz="4" w:space="0"/>
                  </w:tcBorders>
                  <w:vAlign w:val="center"/>
                </w:tcPr>
                <w:p>
                  <w:pPr>
                    <w:pStyle w:val="54"/>
                    <w:jc w:val="center"/>
                    <w:rPr>
                      <w:rFonts w:ascii="Times New Roman" w:hAnsi="Times New Roman" w:cs="Times New Roman"/>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27</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酒精灯</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100</w:t>
                  </w:r>
                </w:p>
              </w:tc>
              <w:tc>
                <w:tcPr>
                  <w:tcW w:w="1061" w:type="pct"/>
                  <w:vMerge w:val="continue"/>
                  <w:tcBorders>
                    <w:left w:val="single" w:color="auto" w:sz="4" w:space="0"/>
                    <w:right w:val="single" w:color="auto" w:sz="4" w:space="0"/>
                  </w:tcBorders>
                  <w:vAlign w:val="center"/>
                </w:tcPr>
                <w:p>
                  <w:pPr>
                    <w:pStyle w:val="54"/>
                    <w:jc w:val="center"/>
                    <w:rPr>
                      <w:rFonts w:ascii="Times New Roman" w:hAnsi="Times New Roman" w:cs="Times New Roman"/>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28</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量筒</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200</w:t>
                  </w:r>
                </w:p>
              </w:tc>
              <w:tc>
                <w:tcPr>
                  <w:tcW w:w="1061" w:type="pct"/>
                  <w:vMerge w:val="continue"/>
                  <w:tcBorders>
                    <w:left w:val="single" w:color="auto" w:sz="4" w:space="0"/>
                    <w:right w:val="single" w:color="auto" w:sz="4" w:space="0"/>
                  </w:tcBorders>
                  <w:vAlign w:val="center"/>
                </w:tcPr>
                <w:p>
                  <w:pPr>
                    <w:pStyle w:val="54"/>
                    <w:jc w:val="center"/>
                    <w:rPr>
                      <w:rFonts w:ascii="Times New Roman" w:hAnsi="Times New Roman" w:cs="Times New Roman"/>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29</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温度计</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若干</w:t>
                  </w:r>
                </w:p>
              </w:tc>
              <w:tc>
                <w:tcPr>
                  <w:tcW w:w="1061" w:type="pct"/>
                  <w:vMerge w:val="continue"/>
                  <w:tcBorders>
                    <w:left w:val="single" w:color="auto" w:sz="4" w:space="0"/>
                    <w:right w:val="single" w:color="auto" w:sz="4" w:space="0"/>
                  </w:tcBorders>
                  <w:vAlign w:val="center"/>
                </w:tcPr>
                <w:p>
                  <w:pPr>
                    <w:pStyle w:val="54"/>
                    <w:jc w:val="center"/>
                    <w:rPr>
                      <w:rFonts w:ascii="Times New Roman" w:hAnsi="Times New Roman" w:cs="Times New Roman"/>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30</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三脚架</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100</w:t>
                  </w:r>
                </w:p>
              </w:tc>
              <w:tc>
                <w:tcPr>
                  <w:tcW w:w="1061" w:type="pct"/>
                  <w:vMerge w:val="continue"/>
                  <w:tcBorders>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31</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显微镜</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80</w:t>
                  </w:r>
                </w:p>
              </w:tc>
              <w:tc>
                <w:tcPr>
                  <w:tcW w:w="1061" w:type="pct"/>
                  <w:vMerge w:val="restar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lang w:eastAsia="zh-CN"/>
                    </w:rPr>
                  </w:pPr>
                  <w:r>
                    <w:rPr>
                      <w:rFonts w:hint="eastAsia" w:ascii="Times New Roman" w:hAnsi="Times New Roman" w:cs="Times New Roman"/>
                      <w:sz w:val="21"/>
                      <w:lang w:eastAsia="zh-CN"/>
                    </w:rPr>
                    <w:t>生物实验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32</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载玻片、盖玻片</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若干</w:t>
                  </w:r>
                </w:p>
              </w:tc>
              <w:tc>
                <w:tcPr>
                  <w:tcW w:w="1061" w:type="pct"/>
                  <w:vMerge w:val="continue"/>
                  <w:tcBorders>
                    <w:top w:val="single" w:color="auto" w:sz="4" w:space="0"/>
                    <w:left w:val="single" w:color="auto" w:sz="4" w:space="0"/>
                    <w:bottom w:val="single" w:color="auto" w:sz="4" w:space="0"/>
                    <w:right w:val="single" w:color="auto" w:sz="4" w:space="0"/>
                  </w:tcBorders>
                  <w:vAlign w:val="center"/>
                </w:tcPr>
                <w:p>
                  <w:pPr>
                    <w:pStyle w:val="54"/>
                    <w:jc w:val="center"/>
                    <w:rPr>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33</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培养皿</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1000</w:t>
                  </w:r>
                </w:p>
              </w:tc>
              <w:tc>
                <w:tcPr>
                  <w:tcW w:w="1061"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34</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放大镜</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若干</w:t>
                  </w:r>
                </w:p>
              </w:tc>
              <w:tc>
                <w:tcPr>
                  <w:tcW w:w="1061"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35</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解刨盘</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100</w:t>
                  </w:r>
                </w:p>
              </w:tc>
              <w:tc>
                <w:tcPr>
                  <w:tcW w:w="1061"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36</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其它辅助设备</w:t>
                  </w:r>
                </w:p>
              </w:tc>
              <w:tc>
                <w:tcPr>
                  <w:tcW w:w="1624" w:type="pct"/>
                  <w:tcBorders>
                    <w:top w:val="single" w:color="000000" w:sz="4" w:space="0"/>
                    <w:left w:val="single" w:color="000000" w:sz="4" w:space="0"/>
                    <w:bottom w:val="single" w:color="000000" w:sz="4" w:space="0"/>
                    <w:right w:val="single" w:color="auto"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若干</w:t>
                  </w:r>
                </w:p>
              </w:tc>
              <w:tc>
                <w:tcPr>
                  <w:tcW w:w="1061"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lang w:eastAsia="zh-CN"/>
                    </w:rPr>
                  </w:pPr>
                  <w:r>
                    <w:rPr>
                      <w:rFonts w:hint="eastAsia" w:ascii="Times New Roman" w:hAnsi="Times New Roman" w:cs="Times New Roman"/>
                      <w:sz w:val="21"/>
                      <w:lang w:eastAsia="zh-CN"/>
                    </w:rPr>
                    <w:t>37</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lang w:eastAsia="zh-CN"/>
                    </w:rPr>
                  </w:pPr>
                  <w:r>
                    <w:rPr>
                      <w:rFonts w:hint="eastAsia" w:ascii="Times New Roman" w:hAnsi="Times New Roman" w:cs="Times New Roman"/>
                      <w:sz w:val="21"/>
                      <w:lang w:eastAsia="zh-CN"/>
                    </w:rPr>
                    <w:t>温度计</w:t>
                  </w:r>
                </w:p>
              </w:tc>
              <w:tc>
                <w:tcPr>
                  <w:tcW w:w="1624" w:type="pct"/>
                  <w:tcBorders>
                    <w:top w:val="single" w:color="000000" w:sz="4" w:space="0"/>
                    <w:left w:val="single" w:color="000000" w:sz="4" w:space="0"/>
                    <w:bottom w:val="single" w:color="000000" w:sz="4" w:space="0"/>
                    <w:right w:val="single" w:color="auto" w:sz="4" w:space="0"/>
                  </w:tcBorders>
                  <w:vAlign w:val="center"/>
                </w:tcPr>
                <w:p>
                  <w:pPr>
                    <w:autoSpaceDE w:val="0"/>
                    <w:autoSpaceDN w:val="0"/>
                    <w:spacing w:line="240" w:lineRule="auto"/>
                    <w:jc w:val="center"/>
                    <w:rPr>
                      <w:rFonts w:eastAsia="宋体"/>
                      <w:kern w:val="0"/>
                      <w:sz w:val="21"/>
                      <w:szCs w:val="22"/>
                      <w:lang w:eastAsia="en-US"/>
                    </w:rPr>
                  </w:pPr>
                  <w:r>
                    <w:rPr>
                      <w:rFonts w:eastAsia="宋体"/>
                      <w:kern w:val="0"/>
                      <w:sz w:val="21"/>
                      <w:szCs w:val="22"/>
                      <w:lang w:eastAsia="en-US"/>
                    </w:rPr>
                    <w:t>若干</w:t>
                  </w:r>
                </w:p>
              </w:tc>
              <w:tc>
                <w:tcPr>
                  <w:tcW w:w="1061" w:type="pct"/>
                  <w:vMerge w:val="restart"/>
                  <w:tcBorders>
                    <w:top w:val="single" w:color="auto" w:sz="4" w:space="0"/>
                    <w:left w:val="single" w:color="auto" w:sz="4" w:space="0"/>
                    <w:right w:val="single" w:color="auto" w:sz="4" w:space="0"/>
                  </w:tcBorders>
                  <w:vAlign w:val="center"/>
                </w:tcPr>
                <w:p>
                  <w:pPr>
                    <w:autoSpaceDE w:val="0"/>
                    <w:autoSpaceDN w:val="0"/>
                    <w:spacing w:line="240" w:lineRule="auto"/>
                    <w:jc w:val="center"/>
                    <w:rPr>
                      <w:sz w:val="2"/>
                      <w:szCs w:val="2"/>
                    </w:rPr>
                  </w:pPr>
                  <w:r>
                    <w:rPr>
                      <w:rFonts w:hint="eastAsia" w:ascii="宋体" w:hAnsi="宋体" w:eastAsia="宋体" w:cs="宋体"/>
                      <w:sz w:val="21"/>
                      <w:szCs w:val="21"/>
                    </w:rPr>
                    <w:t>医务室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lang w:eastAsia="zh-CN"/>
                    </w:rPr>
                  </w:pPr>
                  <w:r>
                    <w:rPr>
                      <w:rFonts w:hint="eastAsia" w:ascii="Times New Roman" w:hAnsi="Times New Roman" w:cs="Times New Roman"/>
                      <w:sz w:val="21"/>
                      <w:lang w:eastAsia="zh-CN"/>
                    </w:rPr>
                    <w:t>38</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lang w:eastAsia="zh-CN"/>
                    </w:rPr>
                  </w:pPr>
                  <w:r>
                    <w:rPr>
                      <w:rFonts w:hint="eastAsia" w:ascii="Times New Roman" w:hAnsi="Times New Roman" w:cs="Times New Roman"/>
                      <w:sz w:val="21"/>
                      <w:lang w:eastAsia="zh-CN"/>
                    </w:rPr>
                    <w:t>绷带</w:t>
                  </w:r>
                </w:p>
              </w:tc>
              <w:tc>
                <w:tcPr>
                  <w:tcW w:w="1624" w:type="pct"/>
                  <w:tcBorders>
                    <w:top w:val="single" w:color="000000" w:sz="4" w:space="0"/>
                    <w:left w:val="single" w:color="000000" w:sz="4" w:space="0"/>
                    <w:bottom w:val="single" w:color="000000" w:sz="4" w:space="0"/>
                    <w:right w:val="single" w:color="auto" w:sz="4" w:space="0"/>
                  </w:tcBorders>
                  <w:vAlign w:val="center"/>
                </w:tcPr>
                <w:p>
                  <w:pPr>
                    <w:autoSpaceDE w:val="0"/>
                    <w:autoSpaceDN w:val="0"/>
                    <w:spacing w:line="240" w:lineRule="auto"/>
                    <w:jc w:val="center"/>
                    <w:rPr>
                      <w:rFonts w:eastAsia="宋体"/>
                      <w:kern w:val="0"/>
                      <w:sz w:val="21"/>
                      <w:szCs w:val="22"/>
                      <w:lang w:eastAsia="en-US"/>
                    </w:rPr>
                  </w:pPr>
                  <w:r>
                    <w:rPr>
                      <w:rFonts w:eastAsia="宋体"/>
                      <w:kern w:val="0"/>
                      <w:sz w:val="21"/>
                      <w:szCs w:val="22"/>
                      <w:lang w:eastAsia="en-US"/>
                    </w:rPr>
                    <w:t>若干</w:t>
                  </w:r>
                </w:p>
              </w:tc>
              <w:tc>
                <w:tcPr>
                  <w:tcW w:w="1061" w:type="pct"/>
                  <w:vMerge w:val="continue"/>
                  <w:tcBorders>
                    <w:left w:val="single" w:color="auto" w:sz="4" w:space="0"/>
                    <w:right w:val="single" w:color="auto" w:sz="4" w:space="0"/>
                  </w:tcBorders>
                  <w:vAlign w:val="center"/>
                </w:tcPr>
                <w:p>
                  <w:pPr>
                    <w:autoSpaceDE w:val="0"/>
                    <w:autoSpaceDN w:val="0"/>
                    <w:spacing w:line="240" w:lineRule="auto"/>
                    <w:jc w:val="cente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lang w:eastAsia="zh-CN"/>
                    </w:rPr>
                  </w:pPr>
                  <w:r>
                    <w:rPr>
                      <w:rFonts w:hint="eastAsia" w:ascii="Times New Roman" w:hAnsi="Times New Roman" w:cs="Times New Roman"/>
                      <w:sz w:val="21"/>
                      <w:lang w:eastAsia="zh-CN"/>
                    </w:rPr>
                    <w:t>39</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lang w:eastAsia="zh-CN"/>
                    </w:rPr>
                  </w:pPr>
                  <w:r>
                    <w:rPr>
                      <w:rFonts w:hint="eastAsia" w:ascii="Times New Roman" w:hAnsi="Times New Roman" w:cs="Times New Roman"/>
                      <w:sz w:val="21"/>
                      <w:lang w:eastAsia="zh-CN"/>
                    </w:rPr>
                    <w:t>镊子、剪刀</w:t>
                  </w:r>
                </w:p>
              </w:tc>
              <w:tc>
                <w:tcPr>
                  <w:tcW w:w="1624" w:type="pct"/>
                  <w:tcBorders>
                    <w:top w:val="single" w:color="000000" w:sz="4" w:space="0"/>
                    <w:left w:val="single" w:color="000000" w:sz="4" w:space="0"/>
                    <w:bottom w:val="single" w:color="000000" w:sz="4" w:space="0"/>
                    <w:right w:val="single" w:color="auto" w:sz="4" w:space="0"/>
                  </w:tcBorders>
                  <w:vAlign w:val="center"/>
                </w:tcPr>
                <w:p>
                  <w:pPr>
                    <w:autoSpaceDE w:val="0"/>
                    <w:autoSpaceDN w:val="0"/>
                    <w:spacing w:line="240" w:lineRule="auto"/>
                    <w:jc w:val="center"/>
                    <w:rPr>
                      <w:rFonts w:eastAsia="宋体"/>
                      <w:kern w:val="0"/>
                      <w:sz w:val="21"/>
                      <w:szCs w:val="22"/>
                      <w:lang w:eastAsia="en-US"/>
                    </w:rPr>
                  </w:pPr>
                  <w:r>
                    <w:rPr>
                      <w:rFonts w:eastAsia="宋体"/>
                      <w:kern w:val="0"/>
                      <w:sz w:val="21"/>
                      <w:szCs w:val="22"/>
                      <w:lang w:eastAsia="en-US"/>
                    </w:rPr>
                    <w:t>若干</w:t>
                  </w:r>
                </w:p>
              </w:tc>
              <w:tc>
                <w:tcPr>
                  <w:tcW w:w="1061" w:type="pct"/>
                  <w:vMerge w:val="continue"/>
                  <w:tcBorders>
                    <w:left w:val="single" w:color="auto" w:sz="4" w:space="0"/>
                    <w:right w:val="single" w:color="auto" w:sz="4" w:space="0"/>
                  </w:tcBorders>
                  <w:vAlign w:val="center"/>
                </w:tcPr>
                <w:p>
                  <w:pPr>
                    <w:autoSpaceDE w:val="0"/>
                    <w:autoSpaceDN w:val="0"/>
                    <w:spacing w:line="240" w:lineRule="auto"/>
                    <w:jc w:val="cente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lang w:eastAsia="zh-CN"/>
                    </w:rPr>
                  </w:pPr>
                  <w:r>
                    <w:rPr>
                      <w:rFonts w:hint="eastAsia" w:ascii="Times New Roman" w:hAnsi="Times New Roman" w:cs="Times New Roman"/>
                      <w:sz w:val="21"/>
                      <w:lang w:eastAsia="zh-CN"/>
                    </w:rPr>
                    <w:t>40</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lang w:eastAsia="zh-CN"/>
                    </w:rPr>
                  </w:pPr>
                  <w:r>
                    <w:rPr>
                      <w:rFonts w:hint="eastAsia" w:ascii="Times New Roman" w:hAnsi="Times New Roman" w:cs="Times New Roman"/>
                      <w:sz w:val="21"/>
                      <w:lang w:eastAsia="zh-CN"/>
                    </w:rPr>
                    <w:t>急救箱</w:t>
                  </w:r>
                </w:p>
              </w:tc>
              <w:tc>
                <w:tcPr>
                  <w:tcW w:w="1624" w:type="pct"/>
                  <w:tcBorders>
                    <w:top w:val="single" w:color="000000" w:sz="4" w:space="0"/>
                    <w:left w:val="single" w:color="000000" w:sz="4" w:space="0"/>
                    <w:bottom w:val="single" w:color="000000" w:sz="4" w:space="0"/>
                    <w:right w:val="single" w:color="auto" w:sz="4" w:space="0"/>
                  </w:tcBorders>
                  <w:vAlign w:val="center"/>
                </w:tcPr>
                <w:p>
                  <w:pPr>
                    <w:autoSpaceDE w:val="0"/>
                    <w:autoSpaceDN w:val="0"/>
                    <w:spacing w:line="240" w:lineRule="auto"/>
                    <w:jc w:val="center"/>
                    <w:rPr>
                      <w:rFonts w:eastAsia="宋体"/>
                      <w:kern w:val="0"/>
                      <w:sz w:val="21"/>
                      <w:szCs w:val="22"/>
                    </w:rPr>
                  </w:pPr>
                  <w:r>
                    <w:rPr>
                      <w:rFonts w:hint="eastAsia" w:eastAsia="宋体"/>
                      <w:kern w:val="0"/>
                      <w:sz w:val="21"/>
                      <w:szCs w:val="22"/>
                    </w:rPr>
                    <w:t>1个</w:t>
                  </w:r>
                </w:p>
              </w:tc>
              <w:tc>
                <w:tcPr>
                  <w:tcW w:w="1061" w:type="pct"/>
                  <w:vMerge w:val="continue"/>
                  <w:tcBorders>
                    <w:left w:val="single" w:color="auto" w:sz="4" w:space="0"/>
                    <w:right w:val="single" w:color="auto" w:sz="4" w:space="0"/>
                  </w:tcBorders>
                  <w:vAlign w:val="center"/>
                </w:tcPr>
                <w:p>
                  <w:pPr>
                    <w:autoSpaceDE w:val="0"/>
                    <w:autoSpaceDN w:val="0"/>
                    <w:spacing w:line="240" w:lineRule="auto"/>
                    <w:jc w:val="cente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lang w:eastAsia="zh-CN"/>
                    </w:rPr>
                  </w:pPr>
                  <w:r>
                    <w:rPr>
                      <w:rFonts w:hint="eastAsia" w:ascii="Times New Roman" w:hAnsi="Times New Roman" w:cs="Times New Roman"/>
                      <w:sz w:val="21"/>
                      <w:lang w:eastAsia="zh-CN"/>
                    </w:rPr>
                    <w:t>41</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lang w:eastAsia="zh-CN"/>
                    </w:rPr>
                  </w:pPr>
                  <w:r>
                    <w:rPr>
                      <w:rFonts w:hint="eastAsia"/>
                      <w:sz w:val="21"/>
                      <w:lang w:eastAsia="zh-CN"/>
                    </w:rPr>
                    <w:t>医用棉签</w:t>
                  </w:r>
                </w:p>
              </w:tc>
              <w:tc>
                <w:tcPr>
                  <w:tcW w:w="1624" w:type="pct"/>
                  <w:tcBorders>
                    <w:top w:val="single" w:color="000000" w:sz="4" w:space="0"/>
                    <w:left w:val="single" w:color="000000" w:sz="4" w:space="0"/>
                    <w:bottom w:val="single" w:color="000000" w:sz="4" w:space="0"/>
                    <w:right w:val="single" w:color="auto" w:sz="4" w:space="0"/>
                  </w:tcBorders>
                  <w:vAlign w:val="center"/>
                </w:tcPr>
                <w:p>
                  <w:pPr>
                    <w:autoSpaceDE w:val="0"/>
                    <w:autoSpaceDN w:val="0"/>
                    <w:spacing w:line="240" w:lineRule="auto"/>
                    <w:jc w:val="center"/>
                    <w:rPr>
                      <w:rFonts w:eastAsia="宋体"/>
                      <w:kern w:val="0"/>
                      <w:sz w:val="21"/>
                      <w:szCs w:val="22"/>
                    </w:rPr>
                  </w:pPr>
                  <w:r>
                    <w:rPr>
                      <w:rFonts w:eastAsia="宋体"/>
                      <w:kern w:val="0"/>
                      <w:sz w:val="21"/>
                      <w:szCs w:val="22"/>
                      <w:lang w:eastAsia="en-US"/>
                    </w:rPr>
                    <w:t>若干</w:t>
                  </w:r>
                </w:p>
              </w:tc>
              <w:tc>
                <w:tcPr>
                  <w:tcW w:w="1061" w:type="pct"/>
                  <w:vMerge w:val="continue"/>
                  <w:tcBorders>
                    <w:left w:val="single" w:color="auto" w:sz="4" w:space="0"/>
                    <w:right w:val="single" w:color="auto" w:sz="4" w:space="0"/>
                  </w:tcBorders>
                  <w:vAlign w:val="center"/>
                </w:tcPr>
                <w:p>
                  <w:pPr>
                    <w:autoSpaceDE w:val="0"/>
                    <w:autoSpaceDN w:val="0"/>
                    <w:spacing w:line="240" w:lineRule="auto"/>
                    <w:jc w:val="cente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lang w:eastAsia="zh-CN"/>
                    </w:rPr>
                  </w:pPr>
                  <w:r>
                    <w:rPr>
                      <w:rFonts w:hint="eastAsia" w:ascii="Times New Roman" w:hAnsi="Times New Roman" w:cs="Times New Roman"/>
                      <w:sz w:val="21"/>
                      <w:lang w:eastAsia="zh-CN"/>
                    </w:rPr>
                    <w:t>42</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lang w:eastAsia="zh-CN"/>
                    </w:rPr>
                  </w:pPr>
                  <w:r>
                    <w:rPr>
                      <w:rFonts w:hint="eastAsia" w:ascii="Times New Roman" w:hAnsi="Times New Roman" w:cs="Times New Roman"/>
                      <w:sz w:val="21"/>
                      <w:lang w:eastAsia="zh-CN"/>
                    </w:rPr>
                    <w:t>纱布</w:t>
                  </w:r>
                </w:p>
              </w:tc>
              <w:tc>
                <w:tcPr>
                  <w:tcW w:w="1624" w:type="pct"/>
                  <w:tcBorders>
                    <w:top w:val="single" w:color="000000" w:sz="4" w:space="0"/>
                    <w:left w:val="single" w:color="000000" w:sz="4" w:space="0"/>
                    <w:bottom w:val="single" w:color="000000" w:sz="4" w:space="0"/>
                    <w:right w:val="single" w:color="auto" w:sz="4" w:space="0"/>
                  </w:tcBorders>
                  <w:vAlign w:val="center"/>
                </w:tcPr>
                <w:p>
                  <w:pPr>
                    <w:autoSpaceDE w:val="0"/>
                    <w:autoSpaceDN w:val="0"/>
                    <w:spacing w:line="240" w:lineRule="auto"/>
                    <w:jc w:val="center"/>
                    <w:rPr>
                      <w:rFonts w:eastAsia="宋体"/>
                      <w:kern w:val="0"/>
                      <w:sz w:val="21"/>
                      <w:szCs w:val="22"/>
                    </w:rPr>
                  </w:pPr>
                  <w:r>
                    <w:rPr>
                      <w:rFonts w:eastAsia="宋体"/>
                      <w:kern w:val="0"/>
                      <w:sz w:val="21"/>
                      <w:szCs w:val="22"/>
                      <w:lang w:eastAsia="en-US"/>
                    </w:rPr>
                    <w:t>若干</w:t>
                  </w:r>
                </w:p>
              </w:tc>
              <w:tc>
                <w:tcPr>
                  <w:tcW w:w="1061" w:type="pct"/>
                  <w:vMerge w:val="continue"/>
                  <w:tcBorders>
                    <w:left w:val="single" w:color="auto" w:sz="4" w:space="0"/>
                    <w:right w:val="single" w:color="auto" w:sz="4" w:space="0"/>
                  </w:tcBorders>
                  <w:vAlign w:val="center"/>
                </w:tcPr>
                <w:p>
                  <w:pPr>
                    <w:autoSpaceDE w:val="0"/>
                    <w:autoSpaceDN w:val="0"/>
                    <w:spacing w:line="240" w:lineRule="auto"/>
                    <w:jc w:val="cente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18"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lang w:eastAsia="zh-CN"/>
                    </w:rPr>
                  </w:pPr>
                  <w:r>
                    <w:rPr>
                      <w:rFonts w:hint="eastAsia" w:ascii="Times New Roman" w:hAnsi="Times New Roman" w:cs="Times New Roman"/>
                      <w:sz w:val="21"/>
                      <w:lang w:eastAsia="zh-CN"/>
                    </w:rPr>
                    <w:t>43</w:t>
                  </w:r>
                </w:p>
              </w:tc>
              <w:tc>
                <w:tcPr>
                  <w:tcW w:w="1795" w:type="pct"/>
                  <w:tcBorders>
                    <w:top w:val="single" w:color="000000" w:sz="4" w:space="0"/>
                    <w:left w:val="single" w:color="000000" w:sz="4" w:space="0"/>
                    <w:bottom w:val="single" w:color="000000" w:sz="4" w:space="0"/>
                    <w:right w:val="single" w:color="000000" w:sz="4" w:space="0"/>
                  </w:tcBorders>
                  <w:vAlign w:val="center"/>
                </w:tcPr>
                <w:p>
                  <w:pPr>
                    <w:pStyle w:val="54"/>
                    <w:jc w:val="center"/>
                    <w:rPr>
                      <w:rFonts w:ascii="Times New Roman" w:hAnsi="Times New Roman" w:cs="Times New Roman"/>
                      <w:sz w:val="21"/>
                    </w:rPr>
                  </w:pPr>
                  <w:r>
                    <w:rPr>
                      <w:rFonts w:ascii="Times New Roman" w:hAnsi="Times New Roman" w:cs="Times New Roman"/>
                      <w:sz w:val="21"/>
                    </w:rPr>
                    <w:t>其它辅助设备</w:t>
                  </w:r>
                </w:p>
              </w:tc>
              <w:tc>
                <w:tcPr>
                  <w:tcW w:w="1624" w:type="pct"/>
                  <w:tcBorders>
                    <w:top w:val="single" w:color="000000" w:sz="4" w:space="0"/>
                    <w:left w:val="single" w:color="000000" w:sz="4" w:space="0"/>
                    <w:bottom w:val="single" w:color="000000" w:sz="4" w:space="0"/>
                    <w:right w:val="single" w:color="auto" w:sz="4" w:space="0"/>
                  </w:tcBorders>
                  <w:vAlign w:val="center"/>
                </w:tcPr>
                <w:p>
                  <w:pPr>
                    <w:autoSpaceDE w:val="0"/>
                    <w:autoSpaceDN w:val="0"/>
                    <w:spacing w:line="240" w:lineRule="auto"/>
                    <w:jc w:val="center"/>
                    <w:rPr>
                      <w:rFonts w:eastAsia="宋体"/>
                      <w:kern w:val="0"/>
                      <w:sz w:val="21"/>
                      <w:szCs w:val="22"/>
                      <w:lang w:eastAsia="en-US"/>
                    </w:rPr>
                  </w:pPr>
                  <w:r>
                    <w:rPr>
                      <w:rFonts w:eastAsia="宋体"/>
                      <w:kern w:val="0"/>
                      <w:sz w:val="21"/>
                      <w:szCs w:val="22"/>
                      <w:lang w:eastAsia="en-US"/>
                    </w:rPr>
                    <w:t>若干</w:t>
                  </w:r>
                </w:p>
              </w:tc>
              <w:tc>
                <w:tcPr>
                  <w:tcW w:w="1061" w:type="pct"/>
                  <w:vMerge w:val="continue"/>
                  <w:tcBorders>
                    <w:left w:val="single" w:color="auto" w:sz="4" w:space="0"/>
                    <w:bottom w:val="single" w:color="auto" w:sz="4" w:space="0"/>
                    <w:right w:val="single" w:color="auto" w:sz="4" w:space="0"/>
                  </w:tcBorders>
                  <w:vAlign w:val="center"/>
                </w:tcPr>
                <w:p>
                  <w:pPr>
                    <w:autoSpaceDE w:val="0"/>
                    <w:autoSpaceDN w:val="0"/>
                    <w:spacing w:line="240" w:lineRule="auto"/>
                    <w:jc w:val="cente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000" w:type="pct"/>
                  <w:gridSpan w:val="4"/>
                  <w:tcBorders>
                    <w:top w:val="single" w:color="000000" w:sz="4" w:space="0"/>
                    <w:left w:val="single" w:color="000000" w:sz="4" w:space="0"/>
                    <w:bottom w:val="single" w:color="000000" w:sz="4" w:space="0"/>
                    <w:right w:val="single" w:color="auto" w:sz="4" w:space="0"/>
                  </w:tcBorders>
                  <w:vAlign w:val="center"/>
                </w:tcPr>
                <w:p>
                  <w:pPr>
                    <w:pStyle w:val="16"/>
                    <w:jc w:val="left"/>
                    <w:rPr>
                      <w:sz w:val="2"/>
                      <w:szCs w:val="2"/>
                    </w:rPr>
                  </w:pPr>
                  <w:r>
                    <w:rPr>
                      <w:rFonts w:hint="eastAsia" w:ascii="Times New Roman" w:hAnsi="Times New Roman" w:eastAsia="宋体" w:cs="Times New Roman"/>
                      <w:bCs/>
                      <w:sz w:val="21"/>
                      <w:szCs w:val="21"/>
                    </w:rPr>
                    <w:t>注：设备以实际建成为准。</w:t>
                  </w:r>
                </w:p>
              </w:tc>
            </w:tr>
          </w:tbl>
          <w:p>
            <w:pPr>
              <w:pStyle w:val="54"/>
              <w:spacing w:before="158"/>
              <w:ind w:left="588"/>
              <w:rPr>
                <w:rFonts w:ascii="Times New Roman" w:hAnsi="Times New Roman" w:cs="Times New Roman"/>
                <w:kern w:val="2"/>
                <w:sz w:val="24"/>
                <w:szCs w:val="24"/>
                <w:lang w:eastAsia="zh-CN"/>
              </w:rPr>
            </w:pPr>
            <w:r>
              <w:rPr>
                <w:rFonts w:hint="eastAsia" w:ascii="Times New Roman" w:hAnsi="Times New Roman" w:cs="Times New Roman"/>
                <w:kern w:val="2"/>
                <w:sz w:val="24"/>
                <w:szCs w:val="24"/>
                <w:lang w:eastAsia="zh-CN"/>
              </w:rPr>
              <w:t>本项目实验室主要原辅材料消耗如下：</w:t>
            </w:r>
          </w:p>
          <w:p>
            <w:pPr>
              <w:pStyle w:val="16"/>
              <w:spacing w:before="156" w:beforeLines="50" w:line="24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表2-5 主要原料消耗情况</w:t>
            </w:r>
          </w:p>
          <w:tbl>
            <w:tblPr>
              <w:tblStyle w:val="31"/>
              <w:tblW w:w="494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619"/>
              <w:gridCol w:w="1192"/>
              <w:gridCol w:w="1408"/>
              <w:gridCol w:w="821"/>
              <w:gridCol w:w="880"/>
              <w:gridCol w:w="1379"/>
              <w:gridCol w:w="124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序号</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用品名称</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规格</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单位</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消耗量</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最大贮存量</w:t>
                  </w:r>
                </w:p>
              </w:tc>
              <w:tc>
                <w:tcPr>
                  <w:tcW w:w="822"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w w:val="99"/>
                      <w:sz w:val="21"/>
                      <w:szCs w:val="21"/>
                    </w:rPr>
                    <w:t>1</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铁丝、铁块</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500g</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w w:val="99"/>
                      <w:sz w:val="21"/>
                      <w:szCs w:val="21"/>
                    </w:rPr>
                    <w:t>克</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5000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5000</w:t>
                  </w:r>
                </w:p>
              </w:tc>
              <w:tc>
                <w:tcPr>
                  <w:tcW w:w="822" w:type="pct"/>
                  <w:vMerge w:val="restar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化学实验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w w:val="99"/>
                      <w:sz w:val="21"/>
                      <w:szCs w:val="21"/>
                    </w:rPr>
                    <w:t>2</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铝片</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500g</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w w:val="99"/>
                      <w:sz w:val="21"/>
                      <w:szCs w:val="21"/>
                    </w:rPr>
                    <w:t>克</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2000</w:t>
                  </w: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w w:val="99"/>
                      <w:sz w:val="21"/>
                      <w:szCs w:val="21"/>
                    </w:rPr>
                    <w:t>3</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铜块</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500g</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w w:val="99"/>
                      <w:sz w:val="21"/>
                      <w:szCs w:val="21"/>
                    </w:rPr>
                    <w:t>克</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2000</w:t>
                  </w: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w w:val="99"/>
                      <w:sz w:val="21"/>
                      <w:szCs w:val="21"/>
                    </w:rPr>
                    <w:t>4</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eastAsia="zh-CN"/>
                    </w:rPr>
                    <w:t>36%</w:t>
                  </w:r>
                  <w:r>
                    <w:rPr>
                      <w:rFonts w:ascii="Times New Roman" w:hAnsi="Times New Roman" w:cs="Times New Roman"/>
                      <w:sz w:val="21"/>
                      <w:szCs w:val="21"/>
                    </w:rPr>
                    <w:t>浓盐酸</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GR500mL</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sz w:val="21"/>
                      <w:szCs w:val="21"/>
                    </w:rPr>
                    <w:t>毫升</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1500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1000</w:t>
                  </w: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w w:val="99"/>
                      <w:sz w:val="21"/>
                      <w:szCs w:val="21"/>
                    </w:rPr>
                    <w:t>5</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eastAsia="zh-CN"/>
                    </w:rPr>
                    <w:t>98%</w:t>
                  </w:r>
                  <w:r>
                    <w:rPr>
                      <w:rFonts w:ascii="Times New Roman" w:hAnsi="Times New Roman" w:cs="Times New Roman"/>
                      <w:sz w:val="21"/>
                      <w:szCs w:val="21"/>
                    </w:rPr>
                    <w:t>浓硫酸</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GR500mL</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sz w:val="21"/>
                      <w:szCs w:val="21"/>
                    </w:rPr>
                    <w:t>毫升</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w:t>
                  </w:r>
                  <w:r>
                    <w:rPr>
                      <w:rFonts w:hint="eastAsia" w:ascii="Times New Roman" w:hAnsi="Times New Roman" w:cs="Times New Roman"/>
                      <w:sz w:val="21"/>
                      <w:szCs w:val="21"/>
                      <w:lang w:val="en-US" w:eastAsia="zh-CN"/>
                    </w:rPr>
                    <w:t>0</w:t>
                  </w:r>
                  <w:r>
                    <w:rPr>
                      <w:rFonts w:ascii="Times New Roman" w:hAnsi="Times New Roman" w:cs="Times New Roman"/>
                      <w:sz w:val="21"/>
                      <w:szCs w:val="21"/>
                    </w:rPr>
                    <w:t>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500</w:t>
                  </w: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w w:val="99"/>
                      <w:sz w:val="21"/>
                      <w:szCs w:val="21"/>
                    </w:rPr>
                    <w:t>6</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高锰酸钾</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GR500g</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w w:val="99"/>
                      <w:sz w:val="21"/>
                      <w:szCs w:val="21"/>
                    </w:rPr>
                    <w:t>克</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1500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500</w:t>
                  </w: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w w:val="99"/>
                      <w:sz w:val="21"/>
                      <w:szCs w:val="21"/>
                    </w:rPr>
                    <w:t>7</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氯酸钾</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AR100g</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w w:val="99"/>
                      <w:sz w:val="21"/>
                      <w:szCs w:val="21"/>
                    </w:rPr>
                    <w:t>克</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400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w:t>
                  </w: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w w:val="99"/>
                      <w:sz w:val="21"/>
                      <w:szCs w:val="21"/>
                    </w:rPr>
                    <w:t>8</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碳酸氢铵</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AR500g</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w w:val="99"/>
                      <w:sz w:val="21"/>
                      <w:szCs w:val="21"/>
                    </w:rPr>
                    <w:t>克</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500</w:t>
                  </w: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w w:val="99"/>
                      <w:sz w:val="21"/>
                      <w:szCs w:val="21"/>
                    </w:rPr>
                    <w:t>9</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石灰石</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AR500g</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w w:val="99"/>
                      <w:sz w:val="21"/>
                      <w:szCs w:val="21"/>
                    </w:rPr>
                    <w:t>克</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2000</w:t>
                  </w: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10</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过氧化氢</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eastAsia="zh-CN"/>
                    </w:rPr>
                    <w:t>（</w:t>
                  </w:r>
                  <w:r>
                    <w:rPr>
                      <w:rFonts w:ascii="Times New Roman" w:hAnsi="Times New Roman" w:cs="Times New Roman"/>
                      <w:sz w:val="21"/>
                      <w:szCs w:val="21"/>
                    </w:rPr>
                    <w:t>3%~6%</w:t>
                  </w:r>
                  <w:r>
                    <w:rPr>
                      <w:rFonts w:hint="eastAsia" w:ascii="Times New Roman" w:hAnsi="Times New Roman" w:cs="Times New Roman"/>
                      <w:sz w:val="21"/>
                      <w:szCs w:val="21"/>
                      <w:lang w:eastAsia="zh-CN"/>
                    </w:rPr>
                    <w:t>）</w:t>
                  </w:r>
                  <w:r>
                    <w:rPr>
                      <w:rFonts w:ascii="Times New Roman" w:hAnsi="Times New Roman" w:cs="Times New Roman"/>
                      <w:sz w:val="21"/>
                      <w:szCs w:val="21"/>
                    </w:rPr>
                    <w:t>500mL</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sz w:val="21"/>
                      <w:szCs w:val="21"/>
                    </w:rPr>
                    <w:t>毫升</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2000</w:t>
                  </w: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11</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rPr>
                    <w:t>酒精</w:t>
                  </w:r>
                  <w:r>
                    <w:rPr>
                      <w:rFonts w:hint="eastAsia" w:ascii="Times New Roman" w:hAnsi="Times New Roman" w:cs="Times New Roman"/>
                      <w:sz w:val="21"/>
                      <w:szCs w:val="21"/>
                      <w:lang w:eastAsia="zh-CN"/>
                    </w:rPr>
                    <w:t>（</w:t>
                  </w:r>
                  <w:r>
                    <w:rPr>
                      <w:rFonts w:ascii="Times New Roman" w:hAnsi="Times New Roman" w:cs="Times New Roman"/>
                      <w:sz w:val="21"/>
                      <w:szCs w:val="21"/>
                    </w:rPr>
                    <w:t>乙醇</w:t>
                  </w:r>
                  <w:r>
                    <w:rPr>
                      <w:rFonts w:hint="eastAsia" w:ascii="Times New Roman" w:hAnsi="Times New Roman" w:cs="Times New Roman"/>
                      <w:sz w:val="21"/>
                      <w:szCs w:val="21"/>
                      <w:lang w:eastAsia="zh-CN"/>
                    </w:rPr>
                    <w:t>）</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eastAsia="zh-CN"/>
                    </w:rPr>
                    <w:t>（</w:t>
                  </w:r>
                  <w:r>
                    <w:rPr>
                      <w:rFonts w:ascii="Times New Roman" w:hAnsi="Times New Roman" w:cs="Times New Roman"/>
                      <w:sz w:val="21"/>
                      <w:szCs w:val="21"/>
                    </w:rPr>
                    <w:t>99%</w:t>
                  </w:r>
                  <w:r>
                    <w:rPr>
                      <w:rFonts w:hint="eastAsia" w:ascii="Times New Roman" w:hAnsi="Times New Roman" w:cs="Times New Roman"/>
                      <w:sz w:val="21"/>
                      <w:szCs w:val="21"/>
                      <w:lang w:eastAsia="zh-CN"/>
                    </w:rPr>
                    <w:t>）</w:t>
                  </w:r>
                  <w:r>
                    <w:rPr>
                      <w:rFonts w:ascii="Times New Roman" w:hAnsi="Times New Roman" w:cs="Times New Roman"/>
                      <w:sz w:val="21"/>
                      <w:szCs w:val="21"/>
                    </w:rPr>
                    <w:t>1L</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sz w:val="21"/>
                      <w:szCs w:val="21"/>
                    </w:rPr>
                    <w:t>毫升</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10000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6000</w:t>
                  </w: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12</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碘液</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AR500mL</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sz w:val="21"/>
                      <w:szCs w:val="21"/>
                    </w:rPr>
                    <w:t>毫升</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1500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1500</w:t>
                  </w: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13</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硫酸铜</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AR100g</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w w:val="99"/>
                      <w:sz w:val="21"/>
                      <w:szCs w:val="21"/>
                    </w:rPr>
                    <w:t>克</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400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400</w:t>
                  </w: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14</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氢氧化钠</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AR500g</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w w:val="99"/>
                      <w:sz w:val="21"/>
                      <w:szCs w:val="21"/>
                    </w:rPr>
                    <w:t>克</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2000</w:t>
                  </w: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15</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硝酸钾</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AR200g</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w w:val="99"/>
                      <w:sz w:val="21"/>
                      <w:szCs w:val="21"/>
                    </w:rPr>
                    <w:t>克</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w:t>
                  </w: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16</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氯化钠</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AR500g</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w w:val="99"/>
                      <w:sz w:val="21"/>
                      <w:szCs w:val="21"/>
                    </w:rPr>
                    <w:t>克</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1000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500</w:t>
                  </w: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17</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碳酸钠</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AR100g</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w w:val="99"/>
                      <w:sz w:val="21"/>
                      <w:szCs w:val="21"/>
                    </w:rPr>
                    <w:t>克</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w:t>
                  </w: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18</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胆矾</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AR100g</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w w:val="99"/>
                      <w:sz w:val="21"/>
                      <w:szCs w:val="21"/>
                    </w:rPr>
                    <w:t>克</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w:t>
                  </w: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19</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明矾</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AR100g</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w w:val="99"/>
                      <w:sz w:val="21"/>
                      <w:szCs w:val="21"/>
                    </w:rPr>
                    <w:t>克</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400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w:t>
                  </w: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沸石</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AR100g</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w w:val="99"/>
                      <w:sz w:val="21"/>
                      <w:szCs w:val="21"/>
                    </w:rPr>
                    <w:t>克</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w:t>
                  </w: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21</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红磷</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100g</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w w:val="99"/>
                      <w:sz w:val="21"/>
                      <w:szCs w:val="21"/>
                    </w:rPr>
                    <w:t>克</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w:t>
                  </w: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22</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硝酸</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GR500mL</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sz w:val="21"/>
                      <w:szCs w:val="21"/>
                    </w:rPr>
                    <w:t>毫升</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1500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500</w:t>
                  </w: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23</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蜡烛</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w w:val="99"/>
                      <w:sz w:val="21"/>
                      <w:szCs w:val="21"/>
                    </w:rPr>
                    <w:t>/</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w w:val="99"/>
                      <w:sz w:val="21"/>
                      <w:szCs w:val="21"/>
                    </w:rPr>
                    <w:t>/</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少量</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少量</w:t>
                  </w: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24</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pH试纸</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w w:val="99"/>
                      <w:sz w:val="21"/>
                      <w:szCs w:val="21"/>
                    </w:rPr>
                    <w:t>/</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w w:val="99"/>
                      <w:sz w:val="21"/>
                      <w:szCs w:val="21"/>
                    </w:rPr>
                    <w:t>/</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少量</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少量</w:t>
                  </w: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25</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火柴</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w w:val="99"/>
                      <w:sz w:val="21"/>
                      <w:szCs w:val="21"/>
                    </w:rPr>
                    <w:t>/</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w w:val="99"/>
                      <w:sz w:val="21"/>
                      <w:szCs w:val="21"/>
                    </w:rPr>
                    <w:t>/</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少量</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少量</w:t>
                  </w: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26</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淀粉酶</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w w:val="99"/>
                      <w:sz w:val="21"/>
                      <w:szCs w:val="21"/>
                    </w:rPr>
                    <w:t>/</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w w:val="99"/>
                      <w:sz w:val="21"/>
                      <w:szCs w:val="21"/>
                    </w:rPr>
                    <w:t>/</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1000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1000</w:t>
                  </w:r>
                </w:p>
              </w:tc>
              <w:tc>
                <w:tcPr>
                  <w:tcW w:w="822" w:type="pct"/>
                  <w:vMerge w:val="restart"/>
                  <w:tcBorders>
                    <w:top w:val="single" w:color="auto" w:sz="4" w:space="0"/>
                    <w:left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生物实验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27</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重铬酸钾</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GR10mL</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sz w:val="21"/>
                      <w:szCs w:val="21"/>
                    </w:rPr>
                    <w:t>毫升</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100</w:t>
                  </w:r>
                </w:p>
              </w:tc>
              <w:tc>
                <w:tcPr>
                  <w:tcW w:w="822" w:type="pct"/>
                  <w:vMerge w:val="continue"/>
                  <w:tcBorders>
                    <w:left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28</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龙胆紫</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GR10mL</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sz w:val="21"/>
                      <w:szCs w:val="21"/>
                    </w:rPr>
                    <w:t>毫升</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100</w:t>
                  </w:r>
                </w:p>
              </w:tc>
              <w:tc>
                <w:tcPr>
                  <w:tcW w:w="822" w:type="pct"/>
                  <w:vMerge w:val="continue"/>
                  <w:tcBorders>
                    <w:left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29</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醋酸洋红</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GR10mL</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sz w:val="21"/>
                      <w:szCs w:val="21"/>
                    </w:rPr>
                    <w:t>毫升</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100</w:t>
                  </w:r>
                </w:p>
              </w:tc>
              <w:tc>
                <w:tcPr>
                  <w:tcW w:w="822" w:type="pct"/>
                  <w:vMerge w:val="continue"/>
                  <w:tcBorders>
                    <w:left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30</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蔗糖</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AR100g</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w w:val="99"/>
                      <w:sz w:val="21"/>
                      <w:szCs w:val="21"/>
                    </w:rPr>
                    <w:t>克</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w:t>
                  </w:r>
                </w:p>
              </w:tc>
              <w:tc>
                <w:tcPr>
                  <w:tcW w:w="822" w:type="pct"/>
                  <w:vMerge w:val="continue"/>
                  <w:tcBorders>
                    <w:left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31</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品红</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BR100g</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w w:val="99"/>
                      <w:sz w:val="21"/>
                      <w:szCs w:val="21"/>
                    </w:rPr>
                    <w:t>克</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100</w:t>
                  </w:r>
                </w:p>
              </w:tc>
              <w:tc>
                <w:tcPr>
                  <w:tcW w:w="822" w:type="pct"/>
                  <w:vMerge w:val="continue"/>
                  <w:tcBorders>
                    <w:left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32</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酚酞</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BR100g</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rPr>
                  </w:pPr>
                  <w:r>
                    <w:rPr>
                      <w:rFonts w:hint="eastAsia" w:ascii="宋体" w:hAnsi="宋体" w:eastAsia="宋体" w:cs="宋体"/>
                      <w:w w:val="99"/>
                      <w:sz w:val="21"/>
                      <w:szCs w:val="21"/>
                    </w:rPr>
                    <w:t>克</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200</w:t>
                  </w:r>
                </w:p>
              </w:tc>
              <w:tc>
                <w:tcPr>
                  <w:tcW w:w="822" w:type="pct"/>
                  <w:vMerge w:val="continue"/>
                  <w:tcBorders>
                    <w:left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33</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pH试纸</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ascii="Times New Roman" w:hAnsi="Times New Roman" w:cs="Times New Roman"/>
                      <w:w w:val="99"/>
                      <w:sz w:val="21"/>
                      <w:szCs w:val="21"/>
                      <w:lang w:eastAsia="zh-CN"/>
                    </w:rPr>
                    <w:t>/</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少量</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少量</w:t>
                  </w:r>
                </w:p>
              </w:tc>
              <w:tc>
                <w:tcPr>
                  <w:tcW w:w="822" w:type="pct"/>
                  <w:vMerge w:val="continue"/>
                  <w:tcBorders>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34</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其它实验耗材</w:t>
                  </w:r>
                </w:p>
              </w:tc>
              <w:tc>
                <w:tcPr>
                  <w:tcW w:w="93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ascii="Times New Roman" w:hAnsi="Times New Roman" w:cs="Times New Roman"/>
                      <w:w w:val="99"/>
                      <w:sz w:val="21"/>
                      <w:szCs w:val="21"/>
                      <w:lang w:eastAsia="zh-CN"/>
                    </w:rPr>
                    <w:t>/</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sz w:val="21"/>
                      <w:szCs w:val="21"/>
                      <w:lang w:eastAsia="zh-CN"/>
                    </w:rPr>
                  </w:pPr>
                  <w:r>
                    <w:rPr>
                      <w:rFonts w:hint="eastAsia" w:ascii="宋体" w:hAnsi="宋体" w:eastAsia="宋体" w:cs="宋体"/>
                      <w:w w:val="99"/>
                      <w:sz w:val="21"/>
                      <w:szCs w:val="21"/>
                      <w:lang w:eastAsia="zh-CN"/>
                    </w:rPr>
                    <w:t>/</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若干</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若干</w:t>
                  </w:r>
                </w:p>
              </w:tc>
              <w:tc>
                <w:tcPr>
                  <w:tcW w:w="822"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r>
                    <w:rPr>
                      <w:rFonts w:eastAsia="宋体"/>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35</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75%酒精</w:t>
                  </w:r>
                </w:p>
              </w:tc>
              <w:tc>
                <w:tcPr>
                  <w:tcW w:w="933"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w w:val="99"/>
                      <w:sz w:val="21"/>
                      <w:szCs w:val="21"/>
                    </w:rPr>
                  </w:pPr>
                  <w:r>
                    <w:rPr>
                      <w:rFonts w:eastAsia="宋体"/>
                      <w:w w:val="99"/>
                      <w:sz w:val="21"/>
                      <w:szCs w:val="21"/>
                    </w:rPr>
                    <w:t>/</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w w:val="99"/>
                      <w:sz w:val="21"/>
                      <w:szCs w:val="21"/>
                      <w:lang w:eastAsia="zh-CN"/>
                    </w:rPr>
                  </w:pPr>
                  <w:r>
                    <w:rPr>
                      <w:rFonts w:hint="eastAsia" w:ascii="宋体" w:hAnsi="宋体" w:eastAsia="宋体" w:cs="宋体"/>
                      <w:w w:val="99"/>
                      <w:sz w:val="21"/>
                      <w:szCs w:val="21"/>
                      <w:lang w:eastAsia="zh-CN"/>
                    </w:rPr>
                    <w:t>瓶</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w:t>
                  </w:r>
                </w:p>
              </w:tc>
              <w:tc>
                <w:tcPr>
                  <w:tcW w:w="822" w:type="pct"/>
                  <w:vMerge w:val="restart"/>
                  <w:tcBorders>
                    <w:top w:val="single" w:color="auto" w:sz="4" w:space="0"/>
                    <w:left w:val="single" w:color="auto" w:sz="4" w:space="0"/>
                    <w:right w:val="single" w:color="auto" w:sz="4" w:space="0"/>
                  </w:tcBorders>
                  <w:vAlign w:val="center"/>
                </w:tcPr>
                <w:p>
                  <w:pPr>
                    <w:autoSpaceDE w:val="0"/>
                    <w:autoSpaceDN w:val="0"/>
                    <w:spacing w:line="240" w:lineRule="auto"/>
                    <w:jc w:val="center"/>
                    <w:rPr>
                      <w:rFonts w:eastAsia="宋体"/>
                      <w:sz w:val="21"/>
                      <w:szCs w:val="21"/>
                    </w:rPr>
                  </w:pPr>
                  <w:r>
                    <w:rPr>
                      <w:rFonts w:hint="eastAsia" w:eastAsia="宋体"/>
                      <w:sz w:val="21"/>
                      <w:szCs w:val="21"/>
                    </w:rPr>
                    <w:t>医务室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36</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碘伏消毒液</w:t>
                  </w:r>
                </w:p>
              </w:tc>
              <w:tc>
                <w:tcPr>
                  <w:tcW w:w="933"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w w:val="99"/>
                      <w:sz w:val="21"/>
                      <w:szCs w:val="21"/>
                    </w:rPr>
                  </w:pPr>
                  <w:r>
                    <w:rPr>
                      <w:rFonts w:eastAsia="宋体"/>
                      <w:w w:val="99"/>
                      <w:sz w:val="21"/>
                      <w:szCs w:val="21"/>
                    </w:rPr>
                    <w:t>/</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w w:val="99"/>
                      <w:sz w:val="21"/>
                      <w:szCs w:val="21"/>
                      <w:lang w:eastAsia="zh-CN"/>
                    </w:rPr>
                  </w:pPr>
                  <w:r>
                    <w:rPr>
                      <w:rFonts w:hint="eastAsia" w:ascii="宋体" w:hAnsi="宋体" w:eastAsia="宋体" w:cs="宋体"/>
                      <w:w w:val="99"/>
                      <w:sz w:val="21"/>
                      <w:szCs w:val="21"/>
                      <w:lang w:eastAsia="zh-CN"/>
                    </w:rPr>
                    <w:t>瓶</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w:t>
                  </w:r>
                </w:p>
              </w:tc>
              <w:tc>
                <w:tcPr>
                  <w:tcW w:w="822" w:type="pct"/>
                  <w:vMerge w:val="continue"/>
                  <w:tcBorders>
                    <w:left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37</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云南白药喷雾剂</w:t>
                  </w:r>
                </w:p>
              </w:tc>
              <w:tc>
                <w:tcPr>
                  <w:tcW w:w="933"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w w:val="99"/>
                      <w:sz w:val="21"/>
                      <w:szCs w:val="21"/>
                    </w:rPr>
                  </w:pPr>
                  <w:r>
                    <w:rPr>
                      <w:rFonts w:eastAsia="宋体"/>
                      <w:w w:val="99"/>
                      <w:sz w:val="21"/>
                      <w:szCs w:val="21"/>
                    </w:rPr>
                    <w:t>/</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w w:val="99"/>
                      <w:sz w:val="21"/>
                      <w:szCs w:val="21"/>
                      <w:lang w:eastAsia="zh-CN"/>
                    </w:rPr>
                  </w:pPr>
                  <w:r>
                    <w:rPr>
                      <w:rFonts w:hint="eastAsia" w:ascii="宋体" w:hAnsi="宋体" w:eastAsia="宋体" w:cs="宋体"/>
                      <w:w w:val="99"/>
                      <w:sz w:val="21"/>
                      <w:szCs w:val="21"/>
                      <w:lang w:eastAsia="zh-CN"/>
                    </w:rPr>
                    <w:t>瓶</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w:t>
                  </w:r>
                </w:p>
              </w:tc>
              <w:tc>
                <w:tcPr>
                  <w:tcW w:w="822" w:type="pct"/>
                  <w:vMerge w:val="continue"/>
                  <w:tcBorders>
                    <w:left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38</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生理盐水</w:t>
                  </w:r>
                </w:p>
              </w:tc>
              <w:tc>
                <w:tcPr>
                  <w:tcW w:w="933"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w w:val="99"/>
                      <w:sz w:val="21"/>
                      <w:szCs w:val="21"/>
                    </w:rPr>
                  </w:pPr>
                  <w:r>
                    <w:rPr>
                      <w:rFonts w:eastAsia="宋体"/>
                      <w:w w:val="99"/>
                      <w:sz w:val="21"/>
                      <w:szCs w:val="21"/>
                    </w:rPr>
                    <w:t>/</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w w:val="99"/>
                      <w:sz w:val="21"/>
                      <w:szCs w:val="21"/>
                      <w:lang w:eastAsia="zh-CN"/>
                    </w:rPr>
                  </w:pPr>
                  <w:r>
                    <w:rPr>
                      <w:rFonts w:hint="eastAsia" w:ascii="宋体" w:hAnsi="宋体" w:eastAsia="宋体" w:cs="宋体"/>
                      <w:w w:val="99"/>
                      <w:sz w:val="21"/>
                      <w:szCs w:val="21"/>
                      <w:lang w:eastAsia="zh-CN"/>
                    </w:rPr>
                    <w:t>瓶</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w:t>
                  </w:r>
                </w:p>
              </w:tc>
              <w:tc>
                <w:tcPr>
                  <w:tcW w:w="822" w:type="pct"/>
                  <w:vMerge w:val="continue"/>
                  <w:tcBorders>
                    <w:left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39</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创可贴</w:t>
                  </w:r>
                </w:p>
              </w:tc>
              <w:tc>
                <w:tcPr>
                  <w:tcW w:w="933"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w w:val="99"/>
                      <w:sz w:val="21"/>
                      <w:szCs w:val="21"/>
                    </w:rPr>
                  </w:pPr>
                  <w:r>
                    <w:rPr>
                      <w:rFonts w:eastAsia="宋体"/>
                      <w:w w:val="99"/>
                      <w:sz w:val="21"/>
                      <w:szCs w:val="21"/>
                    </w:rPr>
                    <w:t>/</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w w:val="99"/>
                      <w:sz w:val="21"/>
                      <w:szCs w:val="21"/>
                      <w:lang w:eastAsia="zh-CN"/>
                    </w:rPr>
                  </w:pPr>
                  <w:r>
                    <w:rPr>
                      <w:rFonts w:hint="eastAsia" w:ascii="宋体" w:hAnsi="宋体" w:eastAsia="宋体" w:cs="宋体"/>
                      <w:w w:val="99"/>
                      <w:sz w:val="21"/>
                      <w:szCs w:val="21"/>
                      <w:lang w:eastAsia="zh-CN"/>
                    </w:rPr>
                    <w:t>盒</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eastAsia="zh-CN"/>
                    </w:rPr>
                    <w:t>2</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eastAsia="zh-CN"/>
                    </w:rPr>
                    <w:t>2</w:t>
                  </w:r>
                </w:p>
              </w:tc>
              <w:tc>
                <w:tcPr>
                  <w:tcW w:w="822" w:type="pct"/>
                  <w:vMerge w:val="continue"/>
                  <w:tcBorders>
                    <w:left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40</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正气水</w:t>
                  </w:r>
                </w:p>
              </w:tc>
              <w:tc>
                <w:tcPr>
                  <w:tcW w:w="933"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w w:val="99"/>
                      <w:sz w:val="21"/>
                      <w:szCs w:val="21"/>
                    </w:rPr>
                  </w:pPr>
                  <w:r>
                    <w:rPr>
                      <w:rFonts w:eastAsia="宋体"/>
                      <w:w w:val="99"/>
                      <w:sz w:val="21"/>
                      <w:szCs w:val="21"/>
                    </w:rPr>
                    <w:t>/</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w w:val="99"/>
                      <w:sz w:val="21"/>
                      <w:szCs w:val="21"/>
                      <w:lang w:eastAsia="zh-CN"/>
                    </w:rPr>
                  </w:pPr>
                  <w:r>
                    <w:rPr>
                      <w:rFonts w:hint="eastAsia" w:ascii="宋体" w:hAnsi="宋体" w:eastAsia="宋体" w:cs="宋体"/>
                      <w:w w:val="99"/>
                      <w:sz w:val="21"/>
                      <w:szCs w:val="21"/>
                      <w:lang w:eastAsia="zh-CN"/>
                    </w:rPr>
                    <w:t>盒</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w:t>
                  </w:r>
                </w:p>
              </w:tc>
              <w:tc>
                <w:tcPr>
                  <w:tcW w:w="822" w:type="pct"/>
                  <w:vMerge w:val="continue"/>
                  <w:tcBorders>
                    <w:left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11"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41</w:t>
                  </w:r>
                </w:p>
              </w:tc>
              <w:tc>
                <w:tcPr>
                  <w:tcW w:w="790"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止痛药</w:t>
                  </w:r>
                </w:p>
              </w:tc>
              <w:tc>
                <w:tcPr>
                  <w:tcW w:w="933"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w w:val="99"/>
                      <w:sz w:val="21"/>
                      <w:szCs w:val="21"/>
                    </w:rPr>
                  </w:pPr>
                  <w:r>
                    <w:rPr>
                      <w:rFonts w:eastAsia="宋体"/>
                      <w:w w:val="99"/>
                      <w:sz w:val="21"/>
                      <w:szCs w:val="21"/>
                    </w:rPr>
                    <w:t>/</w:t>
                  </w:r>
                </w:p>
              </w:tc>
              <w:tc>
                <w:tcPr>
                  <w:tcW w:w="544" w:type="pct"/>
                  <w:tcBorders>
                    <w:top w:val="single" w:color="auto" w:sz="4" w:space="0"/>
                    <w:left w:val="single" w:color="auto" w:sz="4" w:space="0"/>
                    <w:bottom w:val="single" w:color="auto" w:sz="4" w:space="0"/>
                    <w:right w:val="single" w:color="auto" w:sz="4" w:space="0"/>
                  </w:tcBorders>
                  <w:vAlign w:val="center"/>
                </w:tcPr>
                <w:p>
                  <w:pPr>
                    <w:pStyle w:val="54"/>
                    <w:jc w:val="center"/>
                    <w:rPr>
                      <w:rFonts w:hint="eastAsia" w:ascii="宋体" w:hAnsi="宋体" w:eastAsia="宋体" w:cs="宋体"/>
                      <w:w w:val="99"/>
                      <w:sz w:val="21"/>
                      <w:szCs w:val="21"/>
                      <w:lang w:eastAsia="zh-CN"/>
                    </w:rPr>
                  </w:pPr>
                  <w:r>
                    <w:rPr>
                      <w:rFonts w:hint="eastAsia" w:ascii="宋体" w:hAnsi="宋体" w:eastAsia="宋体" w:cs="宋体"/>
                      <w:w w:val="99"/>
                      <w:sz w:val="21"/>
                      <w:szCs w:val="21"/>
                      <w:lang w:eastAsia="zh-CN"/>
                    </w:rPr>
                    <w:t>盒</w:t>
                  </w:r>
                </w:p>
              </w:tc>
              <w:tc>
                <w:tcPr>
                  <w:tcW w:w="583"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w:t>
                  </w:r>
                </w:p>
              </w:tc>
              <w:tc>
                <w:tcPr>
                  <w:tcW w:w="914" w:type="pct"/>
                  <w:tcBorders>
                    <w:top w:val="single" w:color="auto" w:sz="4" w:space="0"/>
                    <w:left w:val="single" w:color="auto" w:sz="4" w:space="0"/>
                    <w:bottom w:val="single" w:color="auto" w:sz="4" w:space="0"/>
                    <w:right w:val="single" w:color="auto" w:sz="4" w:space="0"/>
                  </w:tcBorders>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w:t>
                  </w:r>
                </w:p>
              </w:tc>
              <w:tc>
                <w:tcPr>
                  <w:tcW w:w="822" w:type="pct"/>
                  <w:vMerge w:val="continue"/>
                  <w:tcBorders>
                    <w:left w:val="single" w:color="auto" w:sz="4" w:space="0"/>
                    <w:bottom w:val="single" w:color="auto" w:sz="4" w:space="0"/>
                    <w:right w:val="single" w:color="auto" w:sz="4" w:space="0"/>
                  </w:tcBorders>
                  <w:vAlign w:val="center"/>
                </w:tcPr>
                <w:p>
                  <w:pPr>
                    <w:autoSpaceDE w:val="0"/>
                    <w:autoSpaceDN w:val="0"/>
                    <w:spacing w:line="240" w:lineRule="auto"/>
                    <w:jc w:val="center"/>
                    <w:rPr>
                      <w:rFonts w:eastAsia="宋体"/>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000" w:type="pct"/>
                  <w:gridSpan w:val="7"/>
                  <w:tcBorders>
                    <w:top w:val="single" w:color="auto" w:sz="4" w:space="0"/>
                    <w:left w:val="single" w:color="auto" w:sz="4" w:space="0"/>
                    <w:bottom w:val="single" w:color="auto" w:sz="4" w:space="0"/>
                    <w:right w:val="single" w:color="auto" w:sz="4" w:space="0"/>
                  </w:tcBorders>
                  <w:vAlign w:val="center"/>
                </w:tcPr>
                <w:p>
                  <w:pPr>
                    <w:pStyle w:val="16"/>
                    <w:jc w:val="left"/>
                    <w:rPr>
                      <w:rFonts w:ascii="Times New Roman" w:hAnsi="Times New Roman" w:eastAsia="宋体" w:cs="Times New Roman"/>
                      <w:sz w:val="21"/>
                      <w:szCs w:val="21"/>
                    </w:rPr>
                  </w:pPr>
                  <w:r>
                    <w:rPr>
                      <w:rFonts w:ascii="Times New Roman" w:hAnsi="Times New Roman" w:eastAsia="宋体" w:cs="Times New Roman"/>
                      <w:bCs/>
                      <w:sz w:val="21"/>
                      <w:szCs w:val="21"/>
                    </w:rPr>
                    <w:t>注：设备以实际建成为准。</w:t>
                  </w:r>
                </w:p>
              </w:tc>
            </w:tr>
          </w:tbl>
          <w:p>
            <w:pPr>
              <w:pStyle w:val="7"/>
              <w:adjustRightInd w:val="0"/>
              <w:snapToGrid w:val="0"/>
              <w:ind w:firstLine="480"/>
              <w:rPr>
                <w:sz w:val="24"/>
                <w:szCs w:val="24"/>
              </w:rPr>
            </w:pPr>
            <w:r>
              <w:rPr>
                <w:rFonts w:hint="eastAsia"/>
                <w:sz w:val="24"/>
                <w:szCs w:val="24"/>
              </w:rPr>
              <w:t>实验室试剂理化性质如下：</w:t>
            </w:r>
          </w:p>
          <w:p>
            <w:pPr>
              <w:pStyle w:val="7"/>
              <w:adjustRightInd w:val="0"/>
              <w:snapToGrid w:val="0"/>
              <w:ind w:firstLine="480"/>
              <w:rPr>
                <w:sz w:val="24"/>
                <w:szCs w:val="24"/>
              </w:rPr>
            </w:pPr>
            <w:r>
              <w:rPr>
                <w:rFonts w:hint="eastAsia"/>
                <w:sz w:val="24"/>
                <w:szCs w:val="24"/>
              </w:rPr>
              <w:t>浓盐酸：为氯化氢质量分数超过20%的盐酸，是无色透明的液体，常温下会挥发氯化氢气体，跟空气中的水蒸汽重新结合成盐酸的小液滴（即白雾）。市售浓盐酸的浓度为36%~38%，实验用浓盐酸一般也为36%~38%，是一种共沸混合物。浓盐酸在空气中极易挥发，且对皮肤和衣物有强烈的腐蚀性。</w:t>
            </w:r>
          </w:p>
          <w:p>
            <w:pPr>
              <w:pStyle w:val="7"/>
              <w:adjustRightInd w:val="0"/>
              <w:snapToGrid w:val="0"/>
              <w:ind w:firstLine="480"/>
              <w:rPr>
                <w:sz w:val="24"/>
                <w:szCs w:val="24"/>
              </w:rPr>
            </w:pPr>
            <w:r>
              <w:rPr>
                <w:rFonts w:hint="eastAsia"/>
                <w:sz w:val="24"/>
                <w:szCs w:val="24"/>
              </w:rPr>
              <w:t>浓硫酸：是质量分数大于或等于70%的硫酸水溶液，俗称坏水。本项目使用的浓硫酸为98%，为无色透明油状液体，无臭，熔点：1.5℃，沸点：330.0℃，与水混溶，相对密度（水=1）1.83。浓硫酸具有强腐蚀性：在常压下，沸腾的浓硫酸可以腐蚀除铱和钌之外所有金属，其可以腐蚀的金属单质种类的数量甚至超过了王水。硫酸在浓度高时具有强氧化性，这是它与稀硫酸最大的区别之一。同时它还具有脱水性，难挥发性，酸性，吸水性等。</w:t>
            </w:r>
          </w:p>
          <w:p>
            <w:pPr>
              <w:pStyle w:val="7"/>
              <w:adjustRightInd w:val="0"/>
              <w:snapToGrid w:val="0"/>
              <w:ind w:firstLine="480"/>
              <w:rPr>
                <w:sz w:val="24"/>
                <w:szCs w:val="24"/>
              </w:rPr>
            </w:pPr>
            <w:r>
              <w:rPr>
                <w:rFonts w:hint="eastAsia"/>
                <w:sz w:val="24"/>
                <w:szCs w:val="24"/>
              </w:rPr>
              <w:t>高锰酸钾：外观与性状：紫色的结晶固体，溶解性：溶于水、碱液，微溶于甲醇、丙酮、硫酸，密度：1.01g/mLat25°C，熔点：240°C，水溶解性：6.4g/100mL（20ºC），稳定性：稳定，但接触易燃材料可能引起火灾。它常用作消毒剂、水净化剂、氧化剂、漂白剂、毒气吸收剂、二氧化碳精制剂等。</w:t>
            </w:r>
          </w:p>
          <w:p>
            <w:pPr>
              <w:pStyle w:val="7"/>
              <w:adjustRightInd w:val="0"/>
              <w:snapToGrid w:val="0"/>
              <w:ind w:firstLine="480"/>
              <w:rPr>
                <w:sz w:val="24"/>
                <w:szCs w:val="24"/>
              </w:rPr>
            </w:pPr>
            <w:r>
              <w:rPr>
                <w:rFonts w:hint="eastAsia"/>
                <w:sz w:val="24"/>
                <w:szCs w:val="24"/>
              </w:rPr>
              <w:t>碳酸氢铵：白色斜方晶系或单斜晶系结晶体。无毒。能溶于水，水溶液呈碱性，不溶于乙醇。外观：为白色斜方晶系或单斜晶系结晶体，水溶液呈碱性，性质不稳定，36℃以上分解为二氧化碳、氨和水，60℃可分解完。有吸湿性，潮解后分解会加快。氯酸钾：是一种无机化合物，化学式为KClO</w:t>
            </w:r>
            <w:r>
              <w:rPr>
                <w:rFonts w:hint="eastAsia"/>
                <w:sz w:val="24"/>
                <w:szCs w:val="24"/>
                <w:vertAlign w:val="subscript"/>
              </w:rPr>
              <w:t>3</w:t>
            </w:r>
            <w:r>
              <w:rPr>
                <w:rFonts w:hint="eastAsia"/>
                <w:sz w:val="24"/>
                <w:szCs w:val="24"/>
              </w:rPr>
              <w:t>。为无色或白色结晶性粉末，味咸而凉，强氧化剂。常温下稳定，在400℃以上则分解并放出氧气，与还原剂、有机物、易燃物如硫、磷或金属粉末等混合可形成爆炸性混合物，急剧加热时可发生爆炸。因此氯酸钾是一种敏感度很高的炸响剂，如混有一定杂质，有时候甚至会在日光照射下自爆。遇浓硫酸会爆炸。可与用二氧化锰做催化剂，在加热条件下反应生成氧气。由离子构成。氯酸钾绝不能用以与盐酸反应制备氯气，因为会形成易爆的二氧化氯，也根本不能得到纯净的氯气。</w:t>
            </w:r>
          </w:p>
          <w:p>
            <w:pPr>
              <w:pStyle w:val="7"/>
              <w:adjustRightInd w:val="0"/>
              <w:snapToGrid w:val="0"/>
              <w:ind w:firstLine="480"/>
              <w:rPr>
                <w:sz w:val="24"/>
                <w:szCs w:val="24"/>
              </w:rPr>
            </w:pPr>
            <w:r>
              <w:rPr>
                <w:rFonts w:hint="eastAsia"/>
                <w:sz w:val="24"/>
                <w:szCs w:val="24"/>
              </w:rPr>
              <w:t>过氧化氢：是一种无机化合物，化学式为H</w:t>
            </w:r>
            <w:r>
              <w:rPr>
                <w:rFonts w:hint="eastAsia"/>
                <w:sz w:val="24"/>
                <w:szCs w:val="24"/>
                <w:vertAlign w:val="subscript"/>
              </w:rPr>
              <w:t>2</w:t>
            </w:r>
            <w:r>
              <w:rPr>
                <w:rFonts w:hint="eastAsia"/>
                <w:sz w:val="24"/>
                <w:szCs w:val="24"/>
              </w:rPr>
              <w:t>O</w:t>
            </w:r>
            <w:r>
              <w:rPr>
                <w:rFonts w:hint="eastAsia"/>
                <w:sz w:val="24"/>
                <w:szCs w:val="24"/>
                <w:vertAlign w:val="subscript"/>
              </w:rPr>
              <w:t>2</w:t>
            </w:r>
            <w:r>
              <w:rPr>
                <w:rFonts w:hint="eastAsia"/>
                <w:sz w:val="24"/>
                <w:szCs w:val="24"/>
              </w:rPr>
              <w:t>，粘性比水稍高，化学性质不稳定。水溶液为无色透明液体，溶于水、醇、乙醚，不溶于苯、石油醚。纯过氧化氢是淡蓝色的黏稠液体，可任意比例与水混溶，是一种强氧化剂。其一般以30%或60%的水溶液形式存放，俗称双氧水，适用于医用伤口消毒、环境消毒和食品消毒。</w:t>
            </w:r>
          </w:p>
          <w:p>
            <w:pPr>
              <w:pStyle w:val="7"/>
              <w:adjustRightInd w:val="0"/>
              <w:snapToGrid w:val="0"/>
              <w:ind w:firstLine="480"/>
              <w:rPr>
                <w:sz w:val="24"/>
                <w:szCs w:val="24"/>
              </w:rPr>
            </w:pPr>
            <w:r>
              <w:rPr>
                <w:rFonts w:hint="eastAsia"/>
                <w:sz w:val="24"/>
                <w:szCs w:val="24"/>
              </w:rPr>
              <w:t>酒精：是醇类的一种，有机化合物，是最常见的一元醇。其在常温常压下是一种易燃、易挥发，且具有特殊香味（略带刺激）的无色透明液体，是常用的燃料、溶剂和消毒剂，也用于有机合成。</w:t>
            </w:r>
          </w:p>
          <w:p>
            <w:pPr>
              <w:pStyle w:val="7"/>
              <w:adjustRightInd w:val="0"/>
              <w:snapToGrid w:val="0"/>
              <w:ind w:firstLine="480"/>
              <w:rPr>
                <w:sz w:val="24"/>
                <w:szCs w:val="24"/>
              </w:rPr>
            </w:pPr>
            <w:r>
              <w:rPr>
                <w:rFonts w:hint="eastAsia"/>
                <w:sz w:val="24"/>
                <w:szCs w:val="24"/>
              </w:rPr>
              <w:t>碘液：指含有碘化钾的溶液，是一种黄色轻微刺激性气味的液体，因为遇强光会分解，所以会经常装在深棕色瓶里保存，可溶于水。通常用于生物实验，可使生物装片在显微镜下观察时，物像更清晰，便于观察。</w:t>
            </w:r>
          </w:p>
          <w:p>
            <w:pPr>
              <w:pStyle w:val="7"/>
              <w:adjustRightInd w:val="0"/>
              <w:snapToGrid w:val="0"/>
              <w:ind w:firstLine="480"/>
              <w:rPr>
                <w:sz w:val="24"/>
                <w:szCs w:val="24"/>
              </w:rPr>
            </w:pPr>
            <w:r>
              <w:rPr>
                <w:rFonts w:hint="eastAsia"/>
                <w:sz w:val="24"/>
                <w:szCs w:val="24"/>
              </w:rPr>
              <w:t>硫酸铜：外观与性状：无水硫酸铜为灰白色粉末，易吸水变蓝绿色的五水合硫酸铜。熔点：560℃。密度：3.606g/mL（25ºC）。蒸气压：7.3mmHg（25ºC）。溶解性：溶于水、甲醇，不溶于乙醇。</w:t>
            </w:r>
          </w:p>
          <w:p>
            <w:pPr>
              <w:pStyle w:val="7"/>
              <w:adjustRightInd w:val="0"/>
              <w:snapToGrid w:val="0"/>
              <w:ind w:firstLine="480"/>
              <w:rPr>
                <w:sz w:val="24"/>
                <w:szCs w:val="24"/>
              </w:rPr>
            </w:pPr>
            <w:r>
              <w:rPr>
                <w:rFonts w:hint="eastAsia"/>
                <w:sz w:val="24"/>
                <w:szCs w:val="24"/>
              </w:rPr>
              <w:t>氢氧化钠：化学式为NaOH，俗称烧碱、火碱、苛性钠，为一种具有很强腐蚀性的强碱，一般为片状或颗粒形态，易溶于水（溶于水时放热）并形成碱性溶液，另有潮解性，易吸取空气中的水蒸气和二氧化碳。NaOH是化学实验室其中一种必备的化学品，亦为常见的化工品之一。纯品是无色透明的晶体。密度2.130g/cm</w:t>
            </w:r>
            <w:r>
              <w:rPr>
                <w:rFonts w:hint="eastAsia"/>
                <w:sz w:val="24"/>
                <w:szCs w:val="24"/>
                <w:vertAlign w:val="superscript"/>
              </w:rPr>
              <w:t>3</w:t>
            </w:r>
            <w:r>
              <w:rPr>
                <w:rFonts w:hint="eastAsia"/>
                <w:sz w:val="24"/>
                <w:szCs w:val="24"/>
              </w:rPr>
              <w:t>。熔点318.4℃。沸点1390℃。工业品含有少量的氯化钠和碳酸钠，是白色不透明的晶体。有块状，片状，粒状和棒状等。</w:t>
            </w:r>
          </w:p>
          <w:p>
            <w:pPr>
              <w:pStyle w:val="7"/>
              <w:adjustRightInd w:val="0"/>
              <w:snapToGrid w:val="0"/>
              <w:ind w:firstLine="480"/>
              <w:rPr>
                <w:sz w:val="24"/>
                <w:szCs w:val="24"/>
              </w:rPr>
            </w:pPr>
            <w:r>
              <w:rPr>
                <w:rFonts w:hint="eastAsia"/>
                <w:sz w:val="24"/>
                <w:szCs w:val="24"/>
              </w:rPr>
              <w:t>硝酸钾：性状：无色透明棱柱状或白色颗粒或结晶性粉末。味辛辣而咸有凉感。微潮解，潮解性比硝酸钠小。溶解性：易溶于水，不溶于无水乙醇、乙醚。溶于水时吸热，溶液温度降低。硝酸钾在农业市场用途十分广泛，硝酸钾属于二元复合肥。</w:t>
            </w:r>
          </w:p>
          <w:p>
            <w:pPr>
              <w:pStyle w:val="7"/>
              <w:adjustRightInd w:val="0"/>
              <w:snapToGrid w:val="0"/>
              <w:ind w:firstLine="480"/>
              <w:rPr>
                <w:sz w:val="24"/>
                <w:szCs w:val="24"/>
              </w:rPr>
            </w:pPr>
            <w:r>
              <w:rPr>
                <w:rFonts w:hint="eastAsia"/>
                <w:sz w:val="24"/>
                <w:szCs w:val="24"/>
              </w:rPr>
              <w:t>氯化钠：化学式NaCl，无色立方结晶或细小结晶粉末，味咸。外观是白色晶体状，是食盐的主要成分。外观与性状：无色晶体或白色粉末，密度：2.165g/cm³（25℃），折光率：1.378，水溶解性：360g/L（25ºC），稳定性：在正常运输和装卸条件下稳定。</w:t>
            </w:r>
          </w:p>
          <w:p>
            <w:pPr>
              <w:pStyle w:val="7"/>
              <w:adjustRightInd w:val="0"/>
              <w:snapToGrid w:val="0"/>
              <w:ind w:firstLine="480"/>
              <w:rPr>
                <w:sz w:val="24"/>
                <w:szCs w:val="24"/>
              </w:rPr>
            </w:pPr>
            <w:r>
              <w:rPr>
                <w:rFonts w:hint="eastAsia"/>
                <w:sz w:val="24"/>
                <w:szCs w:val="24"/>
              </w:rPr>
              <w:t>碳酸钠：一种重要的化工基本原料，其俗名：块碱、石碱、苏打、口碱等，化学式为Na</w:t>
            </w:r>
            <w:r>
              <w:rPr>
                <w:rFonts w:hint="eastAsia"/>
                <w:sz w:val="24"/>
                <w:szCs w:val="24"/>
                <w:vertAlign w:val="subscript"/>
              </w:rPr>
              <w:t>2</w:t>
            </w:r>
            <w:r>
              <w:rPr>
                <w:rFonts w:hint="eastAsia"/>
                <w:sz w:val="24"/>
                <w:szCs w:val="24"/>
              </w:rPr>
              <w:t>CO</w:t>
            </w:r>
            <w:r>
              <w:rPr>
                <w:rFonts w:hint="eastAsia"/>
                <w:sz w:val="24"/>
                <w:szCs w:val="24"/>
                <w:vertAlign w:val="subscript"/>
              </w:rPr>
              <w:t>3</w:t>
            </w:r>
            <w:r>
              <w:rPr>
                <w:rFonts w:hint="eastAsia"/>
                <w:sz w:val="24"/>
                <w:szCs w:val="24"/>
              </w:rPr>
              <w:t>，易溶于水，微溶于无水乙醇，不溶于丙醇，其水溶液呈碱性。形态为无色晶体，结晶水不稳定，易风化，因此普通情况下为白色粉末，为强电解质，具有盐的通性和热稳定性。</w:t>
            </w:r>
          </w:p>
          <w:p>
            <w:pPr>
              <w:pStyle w:val="7"/>
              <w:adjustRightInd w:val="0"/>
              <w:snapToGrid w:val="0"/>
              <w:ind w:firstLine="480"/>
              <w:rPr>
                <w:sz w:val="24"/>
                <w:szCs w:val="24"/>
              </w:rPr>
            </w:pPr>
            <w:r>
              <w:rPr>
                <w:rFonts w:hint="eastAsia"/>
                <w:sz w:val="24"/>
                <w:szCs w:val="24"/>
              </w:rPr>
              <w:t>品红：分子式C</w:t>
            </w:r>
            <w:r>
              <w:rPr>
                <w:rFonts w:hint="eastAsia"/>
                <w:sz w:val="24"/>
                <w:szCs w:val="24"/>
                <w:vertAlign w:val="subscript"/>
              </w:rPr>
              <w:t>20</w:t>
            </w:r>
            <w:r>
              <w:rPr>
                <w:rFonts w:hint="eastAsia"/>
                <w:sz w:val="24"/>
                <w:szCs w:val="24"/>
              </w:rPr>
              <w:t>H</w:t>
            </w:r>
            <w:r>
              <w:rPr>
                <w:rFonts w:hint="eastAsia"/>
                <w:sz w:val="24"/>
                <w:szCs w:val="24"/>
                <w:vertAlign w:val="subscript"/>
              </w:rPr>
              <w:t>19</w:t>
            </w:r>
            <w:r>
              <w:rPr>
                <w:rFonts w:hint="eastAsia"/>
                <w:sz w:val="24"/>
                <w:szCs w:val="24"/>
              </w:rPr>
              <w:t>N</w:t>
            </w:r>
            <w:r>
              <w:rPr>
                <w:rFonts w:hint="eastAsia"/>
                <w:sz w:val="24"/>
                <w:szCs w:val="24"/>
                <w:vertAlign w:val="subscript"/>
              </w:rPr>
              <w:t>3</w:t>
            </w:r>
            <w:r>
              <w:rPr>
                <w:rFonts w:hint="eastAsia"/>
                <w:sz w:val="24"/>
                <w:szCs w:val="24"/>
              </w:rPr>
              <w:t>，分子量301.38。又分酸性品红与碱性品红。棕红色晶体。微溶于水，水溶液呈红色。溶于乙醇和酸。用于棉、人造纤维、纸张、皮革的印染，也用于喷漆、墨水等。品红可与二氧化硫结合成不稳定的无色物质，经较长时间或受热时又可分解，出现红色。可由苯胺、邻甲苯胺、对甲苯胺与硝基苯在铁和氯化锌存在时加热制成。</w:t>
            </w:r>
          </w:p>
          <w:p>
            <w:pPr>
              <w:pStyle w:val="7"/>
              <w:adjustRightInd w:val="0"/>
              <w:snapToGrid w:val="0"/>
              <w:ind w:firstLine="480"/>
              <w:rPr>
                <w:sz w:val="24"/>
                <w:szCs w:val="24"/>
              </w:rPr>
            </w:pPr>
            <w:r>
              <w:rPr>
                <w:rFonts w:hint="eastAsia"/>
                <w:sz w:val="24"/>
                <w:szCs w:val="24"/>
              </w:rPr>
              <w:t>酚酞：是指一种化学成品，属于晶体粉末状，几乎不溶于水。其特性是在酸性和中性溶液中为无色，在碱性溶液中为紫红色。常被人们用来检测酸碱。酚酞属刺激剂，用于慢性便秘。能直接刺激肠黏膜或活化肠内平滑肌的神经末梢而增加肠的推进力。因产生过度缓泻而导致体液与电解质障碍。白色或浅黄色三斜细小结晶，无味，在空气中稳定。1g溶于12ml乙醇、约100ml乙醚，溶于稀碱溶液呈深红色，极微溶于氯仿，几乎不溶于水。稳定性：稳定。与强氧化剂和碱不相容。</w:t>
            </w:r>
          </w:p>
          <w:p>
            <w:pPr>
              <w:pStyle w:val="7"/>
              <w:adjustRightInd w:val="0"/>
              <w:snapToGrid w:val="0"/>
              <w:ind w:firstLine="480"/>
              <w:rPr>
                <w:sz w:val="24"/>
                <w:szCs w:val="24"/>
              </w:rPr>
            </w:pPr>
            <w:r>
              <w:rPr>
                <w:rFonts w:hint="eastAsia"/>
                <w:sz w:val="24"/>
                <w:szCs w:val="24"/>
              </w:rPr>
              <w:t>红磷：是巨型共价分子，无定型结构。外观与性状：紫红色无定形粉末，无臭，具有金属光泽，在暗处不发磷光，无臭。不溶于水也不溶于二硫化碳以及乙醇等有机溶剂。熔点（℃）：590（4357kPa），相对密度（水=1）：2.20，相对蒸汽密度（空气=1）：4.77，饱和蒸汽压（kPa）：4357（590℃），引燃温度（℃）：240，溶解性：微溶于水，略溶于乙醇、碱液，不溶于二硫化碳。爆炸下限%（V/V）：48～64mg/m³。在416℃时红磷升华，它的蒸气冷却后变成白磷。</w:t>
            </w:r>
          </w:p>
          <w:p>
            <w:pPr>
              <w:pStyle w:val="7"/>
              <w:adjustRightInd w:val="0"/>
              <w:snapToGrid w:val="0"/>
              <w:ind w:firstLine="480"/>
              <w:rPr>
                <w:sz w:val="24"/>
                <w:szCs w:val="24"/>
              </w:rPr>
            </w:pPr>
            <w:r>
              <w:rPr>
                <w:rFonts w:hint="eastAsia"/>
                <w:sz w:val="24"/>
                <w:szCs w:val="24"/>
              </w:rPr>
              <w:t>硝酸：HNO</w:t>
            </w:r>
            <w:r>
              <w:rPr>
                <w:rFonts w:hint="eastAsia"/>
                <w:sz w:val="24"/>
                <w:szCs w:val="24"/>
                <w:vertAlign w:val="subscript"/>
              </w:rPr>
              <w:t>3</w:t>
            </w:r>
            <w:r>
              <w:rPr>
                <w:rFonts w:hint="eastAsia"/>
                <w:sz w:val="24"/>
                <w:szCs w:val="24"/>
              </w:rPr>
              <w:t>，纯硝酸溶质是无色的，但是由于其分解成氮氧化物和水，旧的样品倾向于获得黄色铸件。大多数市售硝酸在水中的浓度为68%。当溶液中含有86%以上的HNO</w:t>
            </w:r>
            <w:r>
              <w:rPr>
                <w:rFonts w:hint="eastAsia"/>
                <w:sz w:val="24"/>
                <w:szCs w:val="24"/>
                <w:vertAlign w:val="subscript"/>
              </w:rPr>
              <w:t>3</w:t>
            </w:r>
            <w:r>
              <w:rPr>
                <w:rFonts w:hint="eastAsia"/>
                <w:sz w:val="24"/>
                <w:szCs w:val="24"/>
              </w:rPr>
              <w:t>时，它被称为发烟硝酸。</w:t>
            </w:r>
          </w:p>
          <w:p>
            <w:pPr>
              <w:pStyle w:val="7"/>
              <w:adjustRightInd w:val="0"/>
              <w:snapToGrid w:val="0"/>
              <w:ind w:firstLine="480"/>
              <w:rPr>
                <w:sz w:val="24"/>
                <w:szCs w:val="24"/>
              </w:rPr>
            </w:pPr>
            <w:r>
              <w:rPr>
                <w:rFonts w:hint="eastAsia"/>
                <w:sz w:val="24"/>
                <w:szCs w:val="24"/>
              </w:rPr>
              <w:t>淀粉酶：淀粉酶是水解淀粉和糖原的酶类总称。</w:t>
            </w:r>
          </w:p>
          <w:p>
            <w:pPr>
              <w:pStyle w:val="7"/>
              <w:adjustRightInd w:val="0"/>
              <w:snapToGrid w:val="0"/>
              <w:ind w:firstLine="480"/>
              <w:rPr>
                <w:sz w:val="24"/>
                <w:szCs w:val="24"/>
              </w:rPr>
            </w:pPr>
            <w:r>
              <w:rPr>
                <w:rFonts w:hint="eastAsia"/>
                <w:sz w:val="24"/>
                <w:szCs w:val="24"/>
              </w:rPr>
              <w:t>重铬酸钾：重铬酸钾（potassiumdichromate）别名为红矾钾，是一种有毒且有致癌性的强氧化剂，室温下为橙红色三斜晶体或针状晶体，溶于水，不溶于乙醇。分子式：K</w:t>
            </w:r>
            <w:r>
              <w:rPr>
                <w:rFonts w:hint="eastAsia"/>
                <w:sz w:val="24"/>
                <w:szCs w:val="24"/>
                <w:vertAlign w:val="subscript"/>
              </w:rPr>
              <w:t>2</w:t>
            </w:r>
            <w:r>
              <w:rPr>
                <w:rFonts w:hint="eastAsia"/>
                <w:sz w:val="24"/>
                <w:szCs w:val="24"/>
              </w:rPr>
              <w:t>Cr</w:t>
            </w:r>
            <w:r>
              <w:rPr>
                <w:rFonts w:hint="eastAsia"/>
                <w:sz w:val="24"/>
                <w:szCs w:val="24"/>
                <w:vertAlign w:val="subscript"/>
              </w:rPr>
              <w:t>2</w:t>
            </w:r>
            <w:r>
              <w:rPr>
                <w:rFonts w:hint="eastAsia"/>
                <w:sz w:val="24"/>
                <w:szCs w:val="24"/>
              </w:rPr>
              <w:t>O</w:t>
            </w:r>
            <w:r>
              <w:rPr>
                <w:rFonts w:hint="eastAsia"/>
                <w:sz w:val="24"/>
                <w:szCs w:val="24"/>
                <w:vertAlign w:val="subscript"/>
              </w:rPr>
              <w:t>7</w:t>
            </w:r>
            <w:r>
              <w:rPr>
                <w:rFonts w:hint="eastAsia"/>
                <w:sz w:val="24"/>
                <w:szCs w:val="24"/>
              </w:rPr>
              <w:t>，分子量294.1846，熔点：398ºC，沸点：500ºC。</w:t>
            </w:r>
          </w:p>
          <w:p>
            <w:pPr>
              <w:pStyle w:val="7"/>
              <w:adjustRightInd w:val="0"/>
              <w:snapToGrid w:val="0"/>
              <w:ind w:firstLine="480"/>
              <w:rPr>
                <w:sz w:val="24"/>
                <w:szCs w:val="24"/>
              </w:rPr>
            </w:pPr>
            <w:r>
              <w:rPr>
                <w:rFonts w:hint="eastAsia"/>
                <w:sz w:val="24"/>
                <w:szCs w:val="24"/>
              </w:rPr>
              <w:t>龙胆紫：甲紫，（异名：龙胆紫、结晶紫），俗名即紫药水。甲紫属于三苯甲烷类染料消毒剂，和微生物酶系统发生氢离子的竞争性对抗，使酶成为无活性的氧化状态，从而发挥杀菌作用。</w:t>
            </w:r>
          </w:p>
          <w:p>
            <w:pPr>
              <w:pStyle w:val="7"/>
              <w:adjustRightInd w:val="0"/>
              <w:snapToGrid w:val="0"/>
              <w:ind w:firstLine="480"/>
              <w:rPr>
                <w:sz w:val="24"/>
                <w:szCs w:val="24"/>
              </w:rPr>
            </w:pPr>
            <w:r>
              <w:rPr>
                <w:rFonts w:hint="eastAsia"/>
                <w:sz w:val="24"/>
                <w:szCs w:val="24"/>
              </w:rPr>
              <w:t>醋酸洋红：在涂抹法与压碎法中，醋酸洋红常被用作核、染色体的固定和染色剂。在煮沸的45%醋酸中加洋红使之饱和，再加入微量的铁离子，便使醋酸洋红材料在为醋酸固定的同时，洋红将核或染色体染成红色。</w:t>
            </w:r>
          </w:p>
          <w:p>
            <w:pPr>
              <w:pStyle w:val="16"/>
              <w:jc w:val="left"/>
              <w:rPr>
                <w:rFonts w:ascii="Times New Roman" w:hAnsi="Times New Roman" w:eastAsia="宋体" w:cs="Times New Roman"/>
                <w:b/>
                <w:bCs/>
              </w:rPr>
            </w:pPr>
            <w:r>
              <w:rPr>
                <w:rFonts w:hint="eastAsia" w:ascii="Times New Roman" w:hAnsi="Times New Roman" w:eastAsia="宋体" w:cs="Times New Roman"/>
                <w:b/>
                <w:bCs/>
              </w:rPr>
              <w:t>4</w:t>
            </w:r>
            <w:r>
              <w:rPr>
                <w:rFonts w:ascii="Times New Roman" w:hAnsi="Times New Roman" w:eastAsia="宋体" w:cs="Times New Roman"/>
                <w:b/>
                <w:bCs/>
              </w:rPr>
              <w:t>.5</w:t>
            </w:r>
            <w:r>
              <w:rPr>
                <w:rFonts w:hint="eastAsia" w:ascii="Times New Roman" w:hAnsi="Times New Roman" w:eastAsia="宋体" w:cs="Times New Roman"/>
                <w:b/>
                <w:bCs/>
              </w:rPr>
              <w:t>项目平面布置</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本项目将主入口布置在地块北侧与沿河公园连接，将运动场布置在基地的南侧，同时保持沿西侧规划河道上完整的校园临河的主立面。</w:t>
            </w:r>
          </w:p>
          <w:p>
            <w:pPr>
              <w:pStyle w:val="16"/>
              <w:ind w:firstLine="480" w:firstLineChars="200"/>
              <w:rPr>
                <w:rFonts w:ascii="Times New Roman" w:hAnsi="Times New Roman" w:eastAsia="宋体" w:cs="Times New Roman"/>
                <w:highlight w:val="none"/>
              </w:rPr>
            </w:pPr>
            <w:r>
              <w:rPr>
                <w:rFonts w:hint="eastAsia" w:ascii="Times New Roman" w:hAnsi="Times New Roman" w:eastAsia="宋体" w:cs="Times New Roman"/>
              </w:rPr>
              <w:t>中央广场位于核心位置，西侧为小学部，东侧为中学部，下沉庭院与风雨</w:t>
            </w:r>
            <w:r>
              <w:rPr>
                <w:rFonts w:hint="eastAsia" w:ascii="Times New Roman" w:hAnsi="Times New Roman" w:eastAsia="宋体" w:cs="Times New Roman"/>
                <w:highlight w:val="none"/>
              </w:rPr>
              <w:t>操场、地下室接送空间结合，具体见附图3</w:t>
            </w:r>
            <w:r>
              <w:rPr>
                <w:rFonts w:ascii="Times New Roman" w:hAnsi="Times New Roman" w:eastAsia="宋体" w:cs="Times New Roman"/>
                <w:highlight w:val="none"/>
              </w:rPr>
              <w:t>。</w:t>
            </w:r>
          </w:p>
          <w:p>
            <w:pPr>
              <w:pStyle w:val="16"/>
              <w:jc w:val="left"/>
              <w:rPr>
                <w:rFonts w:ascii="Times New Roman" w:hAnsi="Times New Roman" w:eastAsia="宋体" w:cs="Times New Roman"/>
                <w:b/>
                <w:bCs/>
                <w:highlight w:val="none"/>
              </w:rPr>
            </w:pPr>
            <w:r>
              <w:rPr>
                <w:rFonts w:hint="eastAsia" w:ascii="Times New Roman" w:hAnsi="Times New Roman" w:eastAsia="宋体" w:cs="Times New Roman"/>
                <w:b/>
                <w:bCs/>
                <w:highlight w:val="none"/>
              </w:rPr>
              <w:t>4</w:t>
            </w:r>
            <w:r>
              <w:rPr>
                <w:rFonts w:ascii="Times New Roman" w:hAnsi="Times New Roman" w:eastAsia="宋体" w:cs="Times New Roman"/>
                <w:b/>
                <w:bCs/>
                <w:highlight w:val="none"/>
              </w:rPr>
              <w:t>.6</w:t>
            </w:r>
            <w:r>
              <w:rPr>
                <w:rFonts w:hint="eastAsia" w:ascii="Times New Roman" w:hAnsi="Times New Roman" w:eastAsia="宋体" w:cs="Times New Roman"/>
                <w:b/>
                <w:bCs/>
                <w:highlight w:val="none"/>
              </w:rPr>
              <w:t>水平衡</w:t>
            </w:r>
          </w:p>
          <w:p>
            <w:pPr>
              <w:pStyle w:val="16"/>
              <w:jc w:val="center"/>
              <w:rPr>
                <w:rFonts w:ascii="Times New Roman" w:hAnsi="Times New Roman" w:eastAsia="宋体" w:cs="Times New Roman"/>
                <w:b/>
                <w:bCs/>
                <w:highlight w:val="none"/>
              </w:rPr>
            </w:pPr>
            <w:r>
              <w:rPr>
                <w:rFonts w:ascii="Times New Roman" w:hAnsi="Times New Roman" w:eastAsia="宋体" w:cs="Times New Roman"/>
                <w:b/>
                <w:bCs/>
                <w:highlight w:val="none"/>
              </w:rPr>
              <w:object>
                <v:shape id="_x0000_i1025" o:spt="75" type="#_x0000_t75" style="height:168.1pt;width:382.15pt;" o:ole="t" filled="f" o:preferrelative="t" stroked="f" coordsize="21600,21600">
                  <v:path/>
                  <v:fill on="f" focussize="0,0"/>
                  <v:stroke on="f"/>
                  <v:imagedata r:id="rId12" o:title=""/>
                  <o:lock v:ext="edit" aspectratio="f"/>
                  <w10:wrap type="none"/>
                  <w10:anchorlock/>
                </v:shape>
                <o:OLEObject Type="Embed" ProgID="Visio.Drawing.15" ShapeID="_x0000_i1025" DrawAspect="Content" ObjectID="_1468075725" r:id="rId11">
                  <o:LockedField>false</o:LockedField>
                </o:OLEObject>
              </w:object>
            </w:r>
          </w:p>
          <w:p>
            <w:pPr>
              <w:pStyle w:val="16"/>
              <w:jc w:val="center"/>
              <w:rPr>
                <w:rFonts w:ascii="Times New Roman" w:hAnsi="Times New Roman" w:eastAsia="宋体" w:cs="Times New Roman"/>
                <w:b/>
                <w:bCs/>
              </w:rPr>
            </w:pPr>
            <w:r>
              <w:rPr>
                <w:rFonts w:hint="eastAsia" w:ascii="Times New Roman" w:hAnsi="Times New Roman" w:eastAsia="宋体" w:cs="Times New Roman"/>
                <w:b/>
                <w:bCs/>
                <w:highlight w:val="none"/>
              </w:rPr>
              <w:t>图2</w:t>
            </w:r>
            <w:r>
              <w:rPr>
                <w:rFonts w:ascii="Times New Roman" w:hAnsi="Times New Roman" w:eastAsia="宋体" w:cs="Times New Roman"/>
                <w:b/>
                <w:bCs/>
                <w:highlight w:val="none"/>
              </w:rPr>
              <w:t>-1</w:t>
            </w:r>
            <w:r>
              <w:rPr>
                <w:rFonts w:hint="eastAsia" w:ascii="Times New Roman" w:hAnsi="Times New Roman" w:eastAsia="宋体" w:cs="Times New Roman"/>
                <w:b/>
                <w:bCs/>
                <w:highlight w:val="none"/>
              </w:rPr>
              <w:t>水平衡图（t）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16"/>
              <w:jc w:val="center"/>
              <w:rPr>
                <w:rFonts w:ascii="Times New Roman" w:hAnsi="Times New Roman" w:eastAsia="宋体" w:cs="Times New Roman"/>
              </w:rPr>
            </w:pPr>
            <w:r>
              <w:rPr>
                <w:rFonts w:hint="eastAsia" w:ascii="Times New Roman" w:hAnsi="Times New Roman" w:eastAsia="宋体" w:cs="Times New Roman"/>
              </w:rPr>
              <w:t>工艺流程及产排污环节</w:t>
            </w:r>
          </w:p>
        </w:tc>
        <w:tc>
          <w:tcPr>
            <w:tcW w:w="7734" w:type="dxa"/>
          </w:tcPr>
          <w:p>
            <w:pPr>
              <w:pStyle w:val="16"/>
              <w:jc w:val="left"/>
              <w:rPr>
                <w:rFonts w:ascii="Times New Roman" w:hAnsi="Times New Roman" w:eastAsia="宋体" w:cs="Times New Roman"/>
                <w:b/>
                <w:bCs/>
              </w:rPr>
            </w:pPr>
            <w:r>
              <w:rPr>
                <w:rFonts w:hint="eastAsia" w:ascii="Times New Roman" w:hAnsi="Times New Roman" w:eastAsia="宋体" w:cs="Times New Roman"/>
                <w:b/>
                <w:bCs/>
              </w:rPr>
              <w:t>施工期及营运期工艺流程和产排污环节</w:t>
            </w:r>
          </w:p>
          <w:p>
            <w:pPr>
              <w:pStyle w:val="10"/>
              <w:spacing w:line="360" w:lineRule="auto"/>
              <w:ind w:firstLine="480" w:firstLineChars="200"/>
              <w:rPr>
                <w:rFonts w:eastAsia="宋体"/>
              </w:rPr>
            </w:pPr>
            <w:r>
              <w:rPr>
                <w:rFonts w:eastAsia="宋体"/>
              </w:rPr>
              <w:t>主要有场地平整、打桩、结构、装修、运输、土石方工程、绿化、管道铺设、景观、房屋砌筑等施工作业。本项目沥青采用外购商品沥青，现场不设混凝土、沥青拌合场</w:t>
            </w:r>
            <w:r>
              <w:rPr>
                <w:rFonts w:hint="eastAsia" w:eastAsia="宋体"/>
              </w:rPr>
              <w:t>。</w:t>
            </w:r>
          </w:p>
          <w:p>
            <w:pPr>
              <w:pStyle w:val="10"/>
              <w:spacing w:line="360" w:lineRule="auto"/>
              <w:ind w:firstLine="480" w:firstLineChars="200"/>
              <w:rPr>
                <w:rFonts w:eastAsia="宋体"/>
              </w:rPr>
            </w:pPr>
            <w:r>
              <w:rPr>
                <w:rFonts w:eastAsia="宋体"/>
              </w:rPr>
              <w:t>具体工艺流程图如下：</w:t>
            </w:r>
          </w:p>
          <w:p>
            <w:pPr>
              <w:jc w:val="center"/>
            </w:pPr>
            <w:r>
              <w:drawing>
                <wp:inline distT="0" distB="0" distL="0" distR="0">
                  <wp:extent cx="4524375" cy="3311525"/>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524375" cy="3311525"/>
                          </a:xfrm>
                          <a:prstGeom prst="rect">
                            <a:avLst/>
                          </a:prstGeom>
                          <a:noFill/>
                          <a:ln>
                            <a:noFill/>
                          </a:ln>
                        </pic:spPr>
                      </pic:pic>
                    </a:graphicData>
                  </a:graphic>
                </wp:inline>
              </w:drawing>
            </w:r>
          </w:p>
          <w:p>
            <w:pPr>
              <w:pStyle w:val="16"/>
              <w:spacing w:after="156" w:afterLines="50" w:line="240" w:lineRule="auto"/>
              <w:jc w:val="center"/>
              <w:rPr>
                <w:rFonts w:ascii="Times New Roman" w:hAnsi="Times New Roman" w:eastAsia="宋体" w:cs="Times New Roman"/>
              </w:rPr>
            </w:pPr>
            <w:r>
              <w:rPr>
                <w:rFonts w:hint="eastAsia" w:ascii="Times New Roman" w:hAnsi="Times New Roman" w:eastAsia="宋体" w:cs="Times New Roman"/>
                <w:b/>
                <w:bCs/>
                <w:sz w:val="21"/>
                <w:szCs w:val="21"/>
              </w:rPr>
              <w:t>图2</w:t>
            </w:r>
            <w:r>
              <w:rPr>
                <w:rFonts w:ascii="Times New Roman" w:hAnsi="Times New Roman" w:eastAsia="宋体" w:cs="Times New Roman"/>
                <w:b/>
                <w:bCs/>
                <w:sz w:val="21"/>
                <w:szCs w:val="21"/>
              </w:rPr>
              <w:t>-2</w:t>
            </w:r>
            <w:r>
              <w:rPr>
                <w:rFonts w:hint="eastAsia" w:ascii="Times New Roman" w:hAnsi="Times New Roman" w:eastAsia="宋体" w:cs="Times New Roman"/>
                <w:b/>
                <w:bCs/>
                <w:sz w:val="21"/>
                <w:szCs w:val="21"/>
              </w:rPr>
              <w:t>施工期/营运期工艺流程及产污环节图</w:t>
            </w:r>
          </w:p>
          <w:p>
            <w:pPr>
              <w:pStyle w:val="16"/>
              <w:jc w:val="left"/>
              <w:rPr>
                <w:rFonts w:ascii="Times New Roman" w:hAnsi="Times New Roman" w:eastAsia="宋体" w:cs="Times New Roman"/>
              </w:rPr>
            </w:pPr>
            <w:r>
              <w:rPr>
                <w:rFonts w:hint="eastAsia" w:ascii="Times New Roman" w:hAnsi="Times New Roman" w:eastAsia="宋体" w:cs="Times New Roman"/>
              </w:rPr>
              <w:t>主要污染工序：</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一、施工期</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1、废气：机动车废气、施工扬尘、油漆废气和沥青烟气。</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2、废水：施工过程中产生的废水主要为施工人员排放的生活污水、施工作业产生的废水和基坑废水。</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3、噪声：施工噪声主要可分为机械噪声、施工作业噪声和施工车辆噪声。</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4、固废：施工期固体废弃物主要包括各种建筑垃圾、施工人员的生活垃圾、装修垃圾、地下过程开挖的土方、桩基施工泥浆及泥渣和废包装桶等。</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二、营运期</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1、废气：项目运营期间产生的废气主要为食堂油烟废气、汽车尾气、垃圾房臭气、实验废气。</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2、废水：项目运营期产生的废水主要为教职工生活污水、实验废水。</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3、噪声：项目运营期噪声源主要为空调、风机及水泵等设备产生的噪声。</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4、固废：项目固废主要为生活垃圾、餐厨垃圾、废油脂、杂物、医务室医疗废物和实验废物。本项目产污环节及污染防治措施汇总列于下表。</w:t>
            </w:r>
          </w:p>
          <w:p>
            <w:pPr>
              <w:pStyle w:val="16"/>
              <w:spacing w:before="156" w:beforeLines="50" w:line="24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表2-5</w:t>
            </w:r>
            <w:r>
              <w:rPr>
                <w:rFonts w:hint="eastAsia" w:ascii="Times New Roman" w:hAnsi="Times New Roman" w:eastAsia="宋体" w:cs="Times New Roman"/>
                <w:b/>
                <w:bCs/>
                <w:sz w:val="21"/>
                <w:szCs w:val="21"/>
              </w:rPr>
              <w:t>项</w:t>
            </w:r>
            <w:r>
              <w:rPr>
                <w:rFonts w:ascii="Times New Roman" w:hAnsi="Times New Roman" w:eastAsia="宋体" w:cs="Times New Roman"/>
                <w:b/>
                <w:bCs/>
                <w:sz w:val="21"/>
                <w:szCs w:val="21"/>
              </w:rPr>
              <w:t>目施工期及运营期产污环节、主要污染物及治理措施一览表</w:t>
            </w:r>
          </w:p>
          <w:tbl>
            <w:tblPr>
              <w:tblStyle w:val="5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64"/>
              <w:gridCol w:w="364"/>
              <w:gridCol w:w="1532"/>
              <w:gridCol w:w="1680"/>
              <w:gridCol w:w="3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60" w:type="dxa"/>
                  <w:gridSpan w:val="3"/>
                  <w:vAlign w:val="center"/>
                </w:tcPr>
                <w:p>
                  <w:pPr>
                    <w:pStyle w:val="54"/>
                    <w:jc w:val="center"/>
                    <w:rPr>
                      <w:rFonts w:ascii="Times New Roman" w:hAnsi="Times New Roman" w:cs="Times New Roman"/>
                      <w:b/>
                      <w:sz w:val="21"/>
                      <w:szCs w:val="21"/>
                    </w:rPr>
                  </w:pPr>
                  <w:r>
                    <w:rPr>
                      <w:rFonts w:ascii="Times New Roman" w:hAnsi="Times New Roman" w:cs="Times New Roman"/>
                      <w:b/>
                      <w:sz w:val="21"/>
                      <w:szCs w:val="21"/>
                    </w:rPr>
                    <w:t>产污环节</w:t>
                  </w:r>
                </w:p>
              </w:tc>
              <w:tc>
                <w:tcPr>
                  <w:tcW w:w="1680" w:type="dxa"/>
                  <w:vAlign w:val="center"/>
                </w:tcPr>
                <w:p>
                  <w:pPr>
                    <w:pStyle w:val="54"/>
                    <w:jc w:val="center"/>
                    <w:rPr>
                      <w:rFonts w:ascii="Times New Roman" w:hAnsi="Times New Roman" w:cs="Times New Roman"/>
                      <w:b/>
                      <w:sz w:val="21"/>
                      <w:szCs w:val="21"/>
                    </w:rPr>
                  </w:pPr>
                  <w:r>
                    <w:rPr>
                      <w:rFonts w:ascii="Times New Roman" w:hAnsi="Times New Roman" w:cs="Times New Roman"/>
                      <w:b/>
                      <w:sz w:val="21"/>
                      <w:szCs w:val="21"/>
                    </w:rPr>
                    <w:t>主要污染物</w:t>
                  </w:r>
                </w:p>
              </w:tc>
              <w:tc>
                <w:tcPr>
                  <w:tcW w:w="3693" w:type="dxa"/>
                  <w:vAlign w:val="center"/>
                </w:tcPr>
                <w:p>
                  <w:pPr>
                    <w:pStyle w:val="54"/>
                    <w:jc w:val="center"/>
                    <w:rPr>
                      <w:rFonts w:ascii="Times New Roman" w:hAnsi="Times New Roman" w:cs="Times New Roman"/>
                      <w:b/>
                      <w:sz w:val="21"/>
                      <w:szCs w:val="21"/>
                    </w:rPr>
                  </w:pPr>
                  <w:r>
                    <w:rPr>
                      <w:rFonts w:ascii="Times New Roman" w:hAnsi="Times New Roman" w:cs="Times New Roman"/>
                      <w:b/>
                      <w:sz w:val="21"/>
                      <w:szCs w:val="21"/>
                    </w:rPr>
                    <w:t>治理措施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5" w:hRule="atLeast"/>
                <w:jc w:val="center"/>
              </w:trPr>
              <w:tc>
                <w:tcPr>
                  <w:tcW w:w="364" w:type="dxa"/>
                  <w:vMerge w:val="restar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施工期</w:t>
                  </w:r>
                  <w:r>
                    <w:rPr>
                      <w:rFonts w:hint="eastAsia" w:ascii="Times New Roman" w:hAnsi="Times New Roman" w:cs="Times New Roman"/>
                      <w:sz w:val="21"/>
                      <w:szCs w:val="21"/>
                      <w:lang w:eastAsia="zh-CN"/>
                    </w:rPr>
                    <w:t>生态环境</w:t>
                  </w:r>
                </w:p>
              </w:tc>
              <w:tc>
                <w:tcPr>
                  <w:tcW w:w="364" w:type="dxa"/>
                  <w:vMerge w:val="restar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废气</w:t>
                  </w:r>
                </w:p>
              </w:tc>
              <w:tc>
                <w:tcPr>
                  <w:tcW w:w="1532"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施工和运输</w:t>
                  </w:r>
                </w:p>
                <w:p>
                  <w:pPr>
                    <w:pStyle w:val="54"/>
                    <w:jc w:val="center"/>
                    <w:rPr>
                      <w:rFonts w:ascii="Times New Roman" w:hAnsi="Times New Roman" w:cs="Times New Roman"/>
                      <w:sz w:val="21"/>
                      <w:szCs w:val="21"/>
                    </w:rPr>
                  </w:pPr>
                  <w:r>
                    <w:rPr>
                      <w:rFonts w:ascii="Times New Roman" w:hAnsi="Times New Roman" w:cs="Times New Roman"/>
                      <w:sz w:val="21"/>
                      <w:szCs w:val="21"/>
                    </w:rPr>
                    <w:t>车辆</w:t>
                  </w:r>
                </w:p>
              </w:tc>
              <w:tc>
                <w:tcPr>
                  <w:tcW w:w="1680"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机动车废气</w:t>
                  </w:r>
                </w:p>
              </w:tc>
              <w:tc>
                <w:tcPr>
                  <w:tcW w:w="3693" w:type="dxa"/>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缩短怠速、减速和加速的时间，增加正常运行时间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4" w:type="dxa"/>
                  <w:vMerge w:val="continue"/>
                  <w:vAlign w:val="center"/>
                </w:tcPr>
                <w:p>
                  <w:pPr>
                    <w:pStyle w:val="54"/>
                    <w:jc w:val="center"/>
                    <w:rPr>
                      <w:rFonts w:ascii="Times New Roman" w:hAnsi="Times New Roman" w:cs="Times New Roman"/>
                      <w:sz w:val="21"/>
                      <w:szCs w:val="21"/>
                      <w:lang w:eastAsia="zh-CN"/>
                    </w:rPr>
                  </w:pPr>
                </w:p>
              </w:tc>
              <w:tc>
                <w:tcPr>
                  <w:tcW w:w="364" w:type="dxa"/>
                  <w:vMerge w:val="continue"/>
                  <w:vAlign w:val="center"/>
                </w:tcPr>
                <w:p>
                  <w:pPr>
                    <w:pStyle w:val="54"/>
                    <w:jc w:val="center"/>
                    <w:rPr>
                      <w:rFonts w:ascii="Times New Roman" w:hAnsi="Times New Roman" w:cs="Times New Roman"/>
                      <w:sz w:val="21"/>
                      <w:szCs w:val="21"/>
                      <w:lang w:eastAsia="zh-CN"/>
                    </w:rPr>
                  </w:pPr>
                </w:p>
              </w:tc>
              <w:tc>
                <w:tcPr>
                  <w:tcW w:w="1532"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施工扬尘</w:t>
                  </w:r>
                </w:p>
              </w:tc>
              <w:tc>
                <w:tcPr>
                  <w:tcW w:w="1680"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颗粒物</w:t>
                  </w:r>
                </w:p>
              </w:tc>
              <w:tc>
                <w:tcPr>
                  <w:tcW w:w="3693" w:type="dxa"/>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车辆限速行驶、保持路面清洁并适当洒水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4" w:type="dxa"/>
                  <w:vMerge w:val="continue"/>
                  <w:vAlign w:val="center"/>
                </w:tcPr>
                <w:p>
                  <w:pPr>
                    <w:pStyle w:val="54"/>
                    <w:jc w:val="center"/>
                    <w:rPr>
                      <w:rFonts w:ascii="Times New Roman" w:hAnsi="Times New Roman" w:cs="Times New Roman"/>
                      <w:sz w:val="21"/>
                      <w:szCs w:val="21"/>
                      <w:lang w:eastAsia="zh-CN"/>
                    </w:rPr>
                  </w:pPr>
                </w:p>
              </w:tc>
              <w:tc>
                <w:tcPr>
                  <w:tcW w:w="364" w:type="dxa"/>
                  <w:vMerge w:val="continue"/>
                  <w:vAlign w:val="center"/>
                </w:tcPr>
                <w:p>
                  <w:pPr>
                    <w:pStyle w:val="54"/>
                    <w:jc w:val="center"/>
                    <w:rPr>
                      <w:rFonts w:ascii="Times New Roman" w:hAnsi="Times New Roman" w:cs="Times New Roman"/>
                      <w:sz w:val="21"/>
                      <w:szCs w:val="21"/>
                      <w:lang w:eastAsia="zh-CN"/>
                    </w:rPr>
                  </w:pPr>
                </w:p>
              </w:tc>
              <w:tc>
                <w:tcPr>
                  <w:tcW w:w="1532" w:type="dxa"/>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eastAsia="zh-CN"/>
                    </w:rPr>
                    <w:t>油漆废气</w:t>
                  </w:r>
                </w:p>
              </w:tc>
              <w:tc>
                <w:tcPr>
                  <w:tcW w:w="1680" w:type="dxa"/>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eastAsia="zh-CN"/>
                    </w:rPr>
                    <w:t>非甲烷总烃</w:t>
                  </w:r>
                </w:p>
              </w:tc>
              <w:tc>
                <w:tcPr>
                  <w:tcW w:w="3693" w:type="dxa"/>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施工装修时严格按照国家规定的室内装修材料类型合理进行材料的选用和施工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4" w:type="dxa"/>
                  <w:vMerge w:val="continue"/>
                  <w:vAlign w:val="center"/>
                </w:tcPr>
                <w:p>
                  <w:pPr>
                    <w:pStyle w:val="54"/>
                    <w:jc w:val="center"/>
                    <w:rPr>
                      <w:rFonts w:ascii="Times New Roman" w:hAnsi="Times New Roman" w:cs="Times New Roman"/>
                      <w:sz w:val="21"/>
                      <w:szCs w:val="21"/>
                      <w:lang w:eastAsia="zh-CN"/>
                    </w:rPr>
                  </w:pPr>
                </w:p>
              </w:tc>
              <w:tc>
                <w:tcPr>
                  <w:tcW w:w="364" w:type="dxa"/>
                  <w:vMerge w:val="continue"/>
                  <w:vAlign w:val="center"/>
                </w:tcPr>
                <w:p>
                  <w:pPr>
                    <w:pStyle w:val="54"/>
                    <w:jc w:val="center"/>
                    <w:rPr>
                      <w:rFonts w:ascii="Times New Roman" w:hAnsi="Times New Roman" w:cs="Times New Roman"/>
                      <w:sz w:val="21"/>
                      <w:szCs w:val="21"/>
                      <w:lang w:eastAsia="zh-CN"/>
                    </w:rPr>
                  </w:pPr>
                </w:p>
              </w:tc>
              <w:tc>
                <w:tcPr>
                  <w:tcW w:w="1532" w:type="dxa"/>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沥青烟气</w:t>
                  </w:r>
                </w:p>
              </w:tc>
              <w:tc>
                <w:tcPr>
                  <w:tcW w:w="1680" w:type="dxa"/>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THC（烃类）、酚和苯并（a）芘</w:t>
                  </w:r>
                </w:p>
              </w:tc>
              <w:tc>
                <w:tcPr>
                  <w:tcW w:w="3693" w:type="dxa"/>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避开风向针对居住区等环境空气保护目标的时段，同时选择合理施工的时间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364" w:type="dxa"/>
                  <w:vMerge w:val="continue"/>
                  <w:vAlign w:val="center"/>
                </w:tcPr>
                <w:p>
                  <w:pPr>
                    <w:pStyle w:val="54"/>
                    <w:jc w:val="center"/>
                    <w:rPr>
                      <w:rFonts w:ascii="Times New Roman" w:hAnsi="Times New Roman" w:cs="Times New Roman"/>
                      <w:sz w:val="21"/>
                      <w:szCs w:val="21"/>
                      <w:lang w:eastAsia="zh-CN"/>
                    </w:rPr>
                  </w:pPr>
                </w:p>
              </w:tc>
              <w:tc>
                <w:tcPr>
                  <w:tcW w:w="364" w:type="dxa"/>
                  <w:vMerge w:val="restar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废水</w:t>
                  </w:r>
                </w:p>
              </w:tc>
              <w:tc>
                <w:tcPr>
                  <w:tcW w:w="1532"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施工人员生</w:t>
                  </w:r>
                </w:p>
                <w:p>
                  <w:pPr>
                    <w:pStyle w:val="54"/>
                    <w:jc w:val="center"/>
                    <w:rPr>
                      <w:rFonts w:ascii="Times New Roman" w:hAnsi="Times New Roman" w:cs="Times New Roman"/>
                      <w:sz w:val="21"/>
                      <w:szCs w:val="21"/>
                    </w:rPr>
                  </w:pPr>
                  <w:r>
                    <w:rPr>
                      <w:rFonts w:ascii="Times New Roman" w:hAnsi="Times New Roman" w:cs="Times New Roman"/>
                      <w:sz w:val="21"/>
                      <w:szCs w:val="21"/>
                    </w:rPr>
                    <w:t>活污水</w:t>
                  </w:r>
                </w:p>
              </w:tc>
              <w:tc>
                <w:tcPr>
                  <w:tcW w:w="1680"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COD、SS、NH</w:t>
                  </w:r>
                  <w:r>
                    <w:rPr>
                      <w:rFonts w:ascii="Times New Roman" w:hAnsi="Times New Roman" w:cs="Times New Roman"/>
                      <w:sz w:val="21"/>
                      <w:szCs w:val="21"/>
                      <w:vertAlign w:val="subscript"/>
                    </w:rPr>
                    <w:t>3</w:t>
                  </w:r>
                  <w:r>
                    <w:rPr>
                      <w:rFonts w:ascii="Times New Roman" w:hAnsi="Times New Roman" w:cs="Times New Roman"/>
                      <w:sz w:val="21"/>
                      <w:szCs w:val="21"/>
                    </w:rPr>
                    <w:t>-N</w:t>
                  </w:r>
                </w:p>
              </w:tc>
              <w:tc>
                <w:tcPr>
                  <w:tcW w:w="3693"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化粪池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364" w:type="dxa"/>
                  <w:vMerge w:val="continue"/>
                  <w:vAlign w:val="center"/>
                </w:tcPr>
                <w:p>
                  <w:pPr>
                    <w:pStyle w:val="54"/>
                    <w:jc w:val="center"/>
                    <w:rPr>
                      <w:rFonts w:ascii="Times New Roman" w:hAnsi="Times New Roman" w:cs="Times New Roman"/>
                      <w:sz w:val="21"/>
                      <w:szCs w:val="21"/>
                    </w:rPr>
                  </w:pPr>
                </w:p>
              </w:tc>
              <w:tc>
                <w:tcPr>
                  <w:tcW w:w="364" w:type="dxa"/>
                  <w:vMerge w:val="continue"/>
                  <w:vAlign w:val="center"/>
                </w:tcPr>
                <w:p>
                  <w:pPr>
                    <w:pStyle w:val="54"/>
                    <w:jc w:val="center"/>
                    <w:rPr>
                      <w:rFonts w:ascii="Times New Roman" w:hAnsi="Times New Roman" w:cs="Times New Roman"/>
                      <w:sz w:val="21"/>
                      <w:szCs w:val="21"/>
                    </w:rPr>
                  </w:pPr>
                </w:p>
              </w:tc>
              <w:tc>
                <w:tcPr>
                  <w:tcW w:w="1532"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施工作业废</w:t>
                  </w:r>
                </w:p>
                <w:p>
                  <w:pPr>
                    <w:pStyle w:val="54"/>
                    <w:jc w:val="center"/>
                    <w:rPr>
                      <w:rFonts w:ascii="Times New Roman" w:hAnsi="Times New Roman" w:cs="Times New Roman"/>
                      <w:sz w:val="21"/>
                      <w:szCs w:val="21"/>
                    </w:rPr>
                  </w:pPr>
                  <w:r>
                    <w:rPr>
                      <w:rFonts w:ascii="Times New Roman" w:hAnsi="Times New Roman" w:cs="Times New Roman"/>
                      <w:sz w:val="21"/>
                      <w:szCs w:val="21"/>
                    </w:rPr>
                    <w:t>水</w:t>
                  </w:r>
                </w:p>
              </w:tc>
              <w:tc>
                <w:tcPr>
                  <w:tcW w:w="1680"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SS</w:t>
                  </w:r>
                </w:p>
              </w:tc>
              <w:tc>
                <w:tcPr>
                  <w:tcW w:w="3693" w:type="dxa"/>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设置临时沉淀池收集后，用于施工场地洒水降尘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364" w:type="dxa"/>
                  <w:vMerge w:val="continue"/>
                  <w:vAlign w:val="center"/>
                </w:tcPr>
                <w:p>
                  <w:pPr>
                    <w:pStyle w:val="54"/>
                    <w:jc w:val="center"/>
                    <w:rPr>
                      <w:rFonts w:ascii="Times New Roman" w:hAnsi="Times New Roman" w:cs="Times New Roman"/>
                      <w:sz w:val="21"/>
                      <w:szCs w:val="21"/>
                      <w:lang w:eastAsia="zh-CN"/>
                    </w:rPr>
                  </w:pPr>
                </w:p>
              </w:tc>
              <w:tc>
                <w:tcPr>
                  <w:tcW w:w="364" w:type="dxa"/>
                  <w:vMerge w:val="continue"/>
                  <w:vAlign w:val="center"/>
                </w:tcPr>
                <w:p>
                  <w:pPr>
                    <w:pStyle w:val="54"/>
                    <w:jc w:val="center"/>
                    <w:rPr>
                      <w:rFonts w:ascii="Times New Roman" w:hAnsi="Times New Roman" w:cs="Times New Roman"/>
                      <w:sz w:val="21"/>
                      <w:szCs w:val="21"/>
                      <w:lang w:eastAsia="zh-CN"/>
                    </w:rPr>
                  </w:pPr>
                </w:p>
              </w:tc>
              <w:tc>
                <w:tcPr>
                  <w:tcW w:w="1532" w:type="dxa"/>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eastAsia="zh-CN"/>
                    </w:rPr>
                    <w:t>基坑废水</w:t>
                  </w:r>
                </w:p>
              </w:tc>
              <w:tc>
                <w:tcPr>
                  <w:tcW w:w="1680"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COD</w:t>
                  </w:r>
                  <w:r>
                    <w:rPr>
                      <w:rFonts w:hint="eastAsia" w:ascii="Times New Roman" w:hAnsi="Times New Roman" w:cs="Times New Roman"/>
                      <w:sz w:val="21"/>
                      <w:szCs w:val="21"/>
                    </w:rPr>
                    <w:t>、</w:t>
                  </w:r>
                  <w:r>
                    <w:rPr>
                      <w:rFonts w:ascii="Times New Roman" w:hAnsi="Times New Roman" w:cs="Times New Roman"/>
                      <w:sz w:val="21"/>
                      <w:szCs w:val="21"/>
                    </w:rPr>
                    <w:t>SS</w:t>
                  </w:r>
                  <w:r>
                    <w:rPr>
                      <w:rFonts w:hint="eastAsia" w:ascii="Times New Roman" w:hAnsi="Times New Roman" w:cs="Times New Roman"/>
                      <w:sz w:val="21"/>
                      <w:szCs w:val="21"/>
                    </w:rPr>
                    <w:t>、</w:t>
                  </w: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-N</w:t>
                  </w:r>
                </w:p>
              </w:tc>
              <w:tc>
                <w:tcPr>
                  <w:tcW w:w="3693" w:type="dxa"/>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及时排水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4" w:type="dxa"/>
                  <w:vMerge w:val="continue"/>
                  <w:vAlign w:val="center"/>
                </w:tcPr>
                <w:p>
                  <w:pPr>
                    <w:pStyle w:val="54"/>
                    <w:jc w:val="center"/>
                    <w:rPr>
                      <w:rFonts w:ascii="Times New Roman" w:hAnsi="Times New Roman" w:cs="Times New Roman"/>
                      <w:sz w:val="21"/>
                      <w:szCs w:val="21"/>
                      <w:lang w:eastAsia="zh-CN"/>
                    </w:rPr>
                  </w:pPr>
                </w:p>
              </w:tc>
              <w:tc>
                <w:tcPr>
                  <w:tcW w:w="364"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噪声</w:t>
                  </w:r>
                </w:p>
              </w:tc>
              <w:tc>
                <w:tcPr>
                  <w:tcW w:w="1532" w:type="dxa"/>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施工车辆</w:t>
                  </w:r>
                  <w:r>
                    <w:rPr>
                      <w:rFonts w:hint="eastAsia" w:ascii="Times New Roman" w:hAnsi="Times New Roman" w:cs="Times New Roman"/>
                      <w:sz w:val="21"/>
                      <w:szCs w:val="21"/>
                      <w:lang w:eastAsia="zh-CN"/>
                    </w:rPr>
                    <w:t>噪声、机械噪声和施工作业噪声</w:t>
                  </w:r>
                </w:p>
              </w:tc>
              <w:tc>
                <w:tcPr>
                  <w:tcW w:w="1680"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噪声</w:t>
                  </w:r>
                </w:p>
              </w:tc>
              <w:tc>
                <w:tcPr>
                  <w:tcW w:w="3693" w:type="dxa"/>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合理安排工作时间选用低噪声设备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364" w:type="dxa"/>
                  <w:vMerge w:val="continue"/>
                  <w:vAlign w:val="center"/>
                </w:tcPr>
                <w:p>
                  <w:pPr>
                    <w:pStyle w:val="54"/>
                    <w:jc w:val="center"/>
                    <w:rPr>
                      <w:rFonts w:ascii="Times New Roman" w:hAnsi="Times New Roman" w:cs="Times New Roman"/>
                      <w:sz w:val="21"/>
                      <w:szCs w:val="21"/>
                      <w:lang w:eastAsia="zh-CN"/>
                    </w:rPr>
                  </w:pPr>
                </w:p>
              </w:tc>
              <w:tc>
                <w:tcPr>
                  <w:tcW w:w="364" w:type="dxa"/>
                  <w:vMerge w:val="restar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固废</w:t>
                  </w:r>
                </w:p>
              </w:tc>
              <w:tc>
                <w:tcPr>
                  <w:tcW w:w="1532"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施工人员生</w:t>
                  </w:r>
                </w:p>
                <w:p>
                  <w:pPr>
                    <w:pStyle w:val="54"/>
                    <w:jc w:val="center"/>
                    <w:rPr>
                      <w:rFonts w:ascii="Times New Roman" w:hAnsi="Times New Roman" w:cs="Times New Roman"/>
                      <w:sz w:val="21"/>
                      <w:szCs w:val="21"/>
                    </w:rPr>
                  </w:pPr>
                  <w:r>
                    <w:rPr>
                      <w:rFonts w:ascii="Times New Roman" w:hAnsi="Times New Roman" w:cs="Times New Roman"/>
                      <w:sz w:val="21"/>
                      <w:szCs w:val="21"/>
                    </w:rPr>
                    <w:t>活垃圾</w:t>
                  </w:r>
                </w:p>
              </w:tc>
              <w:tc>
                <w:tcPr>
                  <w:tcW w:w="1680"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生活垃圾</w:t>
                  </w:r>
                </w:p>
              </w:tc>
              <w:tc>
                <w:tcPr>
                  <w:tcW w:w="3693" w:type="dxa"/>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设置垃圾桶，定期由环卫部门清运至垃圾填埋场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364" w:type="dxa"/>
                  <w:vMerge w:val="continue"/>
                  <w:vAlign w:val="center"/>
                </w:tcPr>
                <w:p>
                  <w:pPr>
                    <w:pStyle w:val="54"/>
                    <w:jc w:val="center"/>
                    <w:rPr>
                      <w:rFonts w:ascii="Times New Roman" w:hAnsi="Times New Roman" w:cs="Times New Roman"/>
                      <w:sz w:val="21"/>
                      <w:szCs w:val="21"/>
                      <w:lang w:eastAsia="zh-CN"/>
                    </w:rPr>
                  </w:pPr>
                </w:p>
              </w:tc>
              <w:tc>
                <w:tcPr>
                  <w:tcW w:w="364" w:type="dxa"/>
                  <w:vMerge w:val="continue"/>
                  <w:vAlign w:val="center"/>
                </w:tcPr>
                <w:p>
                  <w:pPr>
                    <w:pStyle w:val="54"/>
                    <w:jc w:val="center"/>
                    <w:rPr>
                      <w:rFonts w:ascii="Times New Roman" w:hAnsi="Times New Roman" w:cs="Times New Roman"/>
                      <w:sz w:val="21"/>
                      <w:szCs w:val="21"/>
                      <w:lang w:eastAsia="zh-CN"/>
                    </w:rPr>
                  </w:pPr>
                </w:p>
              </w:tc>
              <w:tc>
                <w:tcPr>
                  <w:tcW w:w="1532"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建筑垃圾</w:t>
                  </w:r>
                </w:p>
              </w:tc>
              <w:tc>
                <w:tcPr>
                  <w:tcW w:w="1680"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建筑垃圾</w:t>
                  </w:r>
                </w:p>
              </w:tc>
              <w:tc>
                <w:tcPr>
                  <w:tcW w:w="3693" w:type="dxa"/>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统一运至当地指定的建筑垃圾堆场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364" w:type="dxa"/>
                  <w:vMerge w:val="continue"/>
                  <w:vAlign w:val="center"/>
                </w:tcPr>
                <w:p>
                  <w:pPr>
                    <w:pStyle w:val="54"/>
                    <w:jc w:val="center"/>
                    <w:rPr>
                      <w:rFonts w:ascii="Times New Roman" w:hAnsi="Times New Roman" w:cs="Times New Roman"/>
                      <w:sz w:val="21"/>
                      <w:szCs w:val="21"/>
                      <w:lang w:eastAsia="zh-CN"/>
                    </w:rPr>
                  </w:pPr>
                </w:p>
              </w:tc>
              <w:tc>
                <w:tcPr>
                  <w:tcW w:w="364" w:type="dxa"/>
                  <w:vMerge w:val="continue"/>
                  <w:vAlign w:val="center"/>
                </w:tcPr>
                <w:p>
                  <w:pPr>
                    <w:pStyle w:val="54"/>
                    <w:jc w:val="center"/>
                    <w:rPr>
                      <w:rFonts w:ascii="Times New Roman" w:hAnsi="Times New Roman" w:cs="Times New Roman"/>
                      <w:sz w:val="21"/>
                      <w:szCs w:val="21"/>
                      <w:lang w:eastAsia="zh-CN"/>
                    </w:rPr>
                  </w:pPr>
                </w:p>
              </w:tc>
              <w:tc>
                <w:tcPr>
                  <w:tcW w:w="1532" w:type="dxa"/>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eastAsia="zh-CN"/>
                    </w:rPr>
                    <w:t>装修垃圾</w:t>
                  </w:r>
                </w:p>
              </w:tc>
              <w:tc>
                <w:tcPr>
                  <w:tcW w:w="1680" w:type="dxa"/>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eastAsia="zh-CN"/>
                    </w:rPr>
                    <w:t>装修垃圾</w:t>
                  </w:r>
                </w:p>
              </w:tc>
              <w:tc>
                <w:tcPr>
                  <w:tcW w:w="3693" w:type="dxa"/>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可回收利用的部分应积极进行综合利用，其余部分运往指定场所集中处理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364" w:type="dxa"/>
                  <w:vMerge w:val="continue"/>
                  <w:vAlign w:val="center"/>
                </w:tcPr>
                <w:p>
                  <w:pPr>
                    <w:pStyle w:val="54"/>
                    <w:jc w:val="center"/>
                    <w:rPr>
                      <w:rFonts w:ascii="Times New Roman" w:hAnsi="Times New Roman" w:cs="Times New Roman"/>
                      <w:sz w:val="21"/>
                      <w:szCs w:val="21"/>
                      <w:lang w:eastAsia="zh-CN"/>
                    </w:rPr>
                  </w:pPr>
                </w:p>
              </w:tc>
              <w:tc>
                <w:tcPr>
                  <w:tcW w:w="364" w:type="dxa"/>
                  <w:vMerge w:val="continue"/>
                  <w:vAlign w:val="center"/>
                </w:tcPr>
                <w:p>
                  <w:pPr>
                    <w:pStyle w:val="54"/>
                    <w:jc w:val="center"/>
                    <w:rPr>
                      <w:rFonts w:ascii="Times New Roman" w:hAnsi="Times New Roman" w:cs="Times New Roman"/>
                      <w:sz w:val="21"/>
                      <w:szCs w:val="21"/>
                      <w:lang w:eastAsia="zh-CN"/>
                    </w:rPr>
                  </w:pPr>
                </w:p>
              </w:tc>
              <w:tc>
                <w:tcPr>
                  <w:tcW w:w="1532" w:type="dxa"/>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地下工程开挖的土方</w:t>
                  </w:r>
                </w:p>
              </w:tc>
              <w:tc>
                <w:tcPr>
                  <w:tcW w:w="1680" w:type="dxa"/>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土壤、石块等</w:t>
                  </w:r>
                </w:p>
              </w:tc>
              <w:tc>
                <w:tcPr>
                  <w:tcW w:w="3693" w:type="dxa"/>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运至指定地点并倾倒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364" w:type="dxa"/>
                  <w:vMerge w:val="continue"/>
                  <w:vAlign w:val="center"/>
                </w:tcPr>
                <w:p>
                  <w:pPr>
                    <w:pStyle w:val="54"/>
                    <w:jc w:val="center"/>
                    <w:rPr>
                      <w:rFonts w:ascii="Times New Roman" w:hAnsi="Times New Roman" w:cs="Times New Roman"/>
                      <w:sz w:val="21"/>
                      <w:szCs w:val="21"/>
                      <w:lang w:eastAsia="zh-CN"/>
                    </w:rPr>
                  </w:pPr>
                </w:p>
              </w:tc>
              <w:tc>
                <w:tcPr>
                  <w:tcW w:w="364" w:type="dxa"/>
                  <w:vMerge w:val="continue"/>
                  <w:vAlign w:val="center"/>
                </w:tcPr>
                <w:p>
                  <w:pPr>
                    <w:pStyle w:val="54"/>
                    <w:jc w:val="center"/>
                    <w:rPr>
                      <w:rFonts w:ascii="Times New Roman" w:hAnsi="Times New Roman" w:cs="Times New Roman"/>
                      <w:sz w:val="21"/>
                      <w:szCs w:val="21"/>
                      <w:lang w:eastAsia="zh-CN"/>
                    </w:rPr>
                  </w:pPr>
                </w:p>
              </w:tc>
              <w:tc>
                <w:tcPr>
                  <w:tcW w:w="1532" w:type="dxa"/>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rPr>
                    <w:t>桩基施工泥浆及泥渣</w:t>
                  </w:r>
                </w:p>
              </w:tc>
              <w:tc>
                <w:tcPr>
                  <w:tcW w:w="1680" w:type="dxa"/>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eastAsia="zh-CN"/>
                    </w:rPr>
                    <w:t>泥浆、泥渣</w:t>
                  </w:r>
                </w:p>
              </w:tc>
              <w:tc>
                <w:tcPr>
                  <w:tcW w:w="3693" w:type="dxa"/>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运至指定地点并倾倒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364" w:type="dxa"/>
                  <w:vMerge w:val="continue"/>
                  <w:vAlign w:val="center"/>
                </w:tcPr>
                <w:p>
                  <w:pPr>
                    <w:pStyle w:val="54"/>
                    <w:jc w:val="center"/>
                    <w:rPr>
                      <w:rFonts w:ascii="Times New Roman" w:hAnsi="Times New Roman" w:cs="Times New Roman"/>
                      <w:sz w:val="21"/>
                      <w:szCs w:val="21"/>
                      <w:lang w:eastAsia="zh-CN"/>
                    </w:rPr>
                  </w:pPr>
                </w:p>
              </w:tc>
              <w:tc>
                <w:tcPr>
                  <w:tcW w:w="364" w:type="dxa"/>
                  <w:vMerge w:val="continue"/>
                  <w:vAlign w:val="center"/>
                </w:tcPr>
                <w:p>
                  <w:pPr>
                    <w:pStyle w:val="54"/>
                    <w:jc w:val="center"/>
                    <w:rPr>
                      <w:rFonts w:ascii="Times New Roman" w:hAnsi="Times New Roman" w:cs="Times New Roman"/>
                      <w:sz w:val="21"/>
                      <w:szCs w:val="21"/>
                      <w:lang w:eastAsia="zh-CN"/>
                    </w:rPr>
                  </w:pPr>
                </w:p>
              </w:tc>
              <w:tc>
                <w:tcPr>
                  <w:tcW w:w="1532" w:type="dxa"/>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eastAsia="zh-CN"/>
                    </w:rPr>
                    <w:t>废包装桶</w:t>
                  </w:r>
                </w:p>
              </w:tc>
              <w:tc>
                <w:tcPr>
                  <w:tcW w:w="1680" w:type="dxa"/>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eastAsia="zh-CN"/>
                    </w:rPr>
                    <w:t>废包装桶</w:t>
                  </w:r>
                </w:p>
              </w:tc>
              <w:tc>
                <w:tcPr>
                  <w:tcW w:w="3693" w:type="dxa"/>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委托有资质的危险废物处置中心进行处置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364" w:type="dxa"/>
                  <w:vMerge w:val="restar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运营期</w:t>
                  </w:r>
                  <w:r>
                    <w:rPr>
                      <w:rFonts w:hint="eastAsia" w:ascii="Times New Roman" w:hAnsi="Times New Roman" w:cs="Times New Roman"/>
                      <w:sz w:val="21"/>
                      <w:szCs w:val="21"/>
                      <w:lang w:eastAsia="zh-CN"/>
                    </w:rPr>
                    <w:t>生态环境</w:t>
                  </w:r>
                </w:p>
              </w:tc>
              <w:tc>
                <w:tcPr>
                  <w:tcW w:w="364" w:type="dxa"/>
                  <w:vMerge w:val="restar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废气</w:t>
                  </w:r>
                </w:p>
              </w:tc>
              <w:tc>
                <w:tcPr>
                  <w:tcW w:w="1532"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实验废气</w:t>
                  </w:r>
                </w:p>
              </w:tc>
              <w:tc>
                <w:tcPr>
                  <w:tcW w:w="1680" w:type="dxa"/>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氯化氢、硫酸雾</w:t>
                  </w:r>
                  <w:r>
                    <w:rPr>
                      <w:rFonts w:hint="eastAsia" w:ascii="Times New Roman" w:hAnsi="Times New Roman" w:cs="Times New Roman"/>
                      <w:sz w:val="21"/>
                      <w:szCs w:val="21"/>
                      <w:lang w:eastAsia="zh-CN"/>
                    </w:rPr>
                    <w:t>、非甲烷总烃、臭气浓度等</w:t>
                  </w:r>
                </w:p>
              </w:tc>
              <w:tc>
                <w:tcPr>
                  <w:tcW w:w="3693" w:type="dxa"/>
                  <w:vAlign w:val="center"/>
                </w:tcPr>
                <w:p>
                  <w:pPr>
                    <w:pStyle w:val="54"/>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化学和生物</w:t>
                  </w:r>
                  <w:r>
                    <w:rPr>
                      <w:rFonts w:hint="eastAsia" w:ascii="Times New Roman" w:hAnsi="Times New Roman" w:cs="Times New Roman"/>
                      <w:sz w:val="21"/>
                      <w:szCs w:val="21"/>
                      <w:lang w:eastAsia="zh-CN"/>
                    </w:rPr>
                    <w:t>实验室设置专门的排毒通风柜，并设专门的风道或竖井将实验室废气引致屋顶高空排放（</w:t>
                  </w:r>
                  <w:r>
                    <w:rPr>
                      <w:rFonts w:hint="eastAsia" w:ascii="Times New Roman" w:hAnsi="Times New Roman" w:cs="Times New Roman"/>
                      <w:sz w:val="21"/>
                      <w:szCs w:val="21"/>
                      <w:lang w:val="en-US" w:eastAsia="zh-CN"/>
                    </w:rPr>
                    <w:t>排放高度20m</w:t>
                  </w:r>
                  <w:r>
                    <w:rPr>
                      <w:rFonts w:hint="eastAsia" w:ascii="Times New Roman" w:hAnsi="Times New Roman" w:cs="Times New Roman"/>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364" w:type="dxa"/>
                  <w:vMerge w:val="continue"/>
                  <w:vAlign w:val="center"/>
                </w:tcPr>
                <w:p>
                  <w:pPr>
                    <w:pStyle w:val="54"/>
                    <w:jc w:val="center"/>
                    <w:rPr>
                      <w:rFonts w:ascii="Times New Roman" w:hAnsi="Times New Roman" w:cs="Times New Roman"/>
                      <w:sz w:val="21"/>
                      <w:szCs w:val="21"/>
                      <w:lang w:eastAsia="zh-CN"/>
                    </w:rPr>
                  </w:pPr>
                </w:p>
              </w:tc>
              <w:tc>
                <w:tcPr>
                  <w:tcW w:w="364" w:type="dxa"/>
                  <w:vMerge w:val="continue"/>
                  <w:vAlign w:val="center"/>
                </w:tcPr>
                <w:p>
                  <w:pPr>
                    <w:pStyle w:val="54"/>
                    <w:jc w:val="center"/>
                    <w:rPr>
                      <w:rFonts w:ascii="Times New Roman" w:hAnsi="Times New Roman" w:cs="Times New Roman"/>
                      <w:sz w:val="21"/>
                      <w:szCs w:val="21"/>
                      <w:lang w:eastAsia="zh-CN"/>
                    </w:rPr>
                  </w:pPr>
                </w:p>
              </w:tc>
              <w:tc>
                <w:tcPr>
                  <w:tcW w:w="1532" w:type="dxa"/>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eastAsia="zh-CN"/>
                    </w:rPr>
                    <w:t>汽车尾气</w:t>
                  </w:r>
                </w:p>
              </w:tc>
              <w:tc>
                <w:tcPr>
                  <w:tcW w:w="1680" w:type="dxa"/>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H</w:t>
                  </w:r>
                  <w:r>
                    <w:rPr>
                      <w:rFonts w:ascii="Times New Roman" w:hAnsi="Times New Roman" w:cs="Times New Roman"/>
                      <w:sz w:val="21"/>
                      <w:szCs w:val="21"/>
                      <w:lang w:eastAsia="zh-CN"/>
                    </w:rPr>
                    <w:t>C</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CO</w:t>
                  </w:r>
                  <w:r>
                    <w:rPr>
                      <w:rFonts w:hint="eastAsia" w:ascii="Times New Roman" w:hAnsi="Times New Roman" w:cs="Times New Roman"/>
                      <w:sz w:val="21"/>
                      <w:szCs w:val="21"/>
                      <w:lang w:eastAsia="zh-CN"/>
                    </w:rPr>
                    <w:t>、N</w:t>
                  </w:r>
                  <w:r>
                    <w:rPr>
                      <w:rFonts w:ascii="Times New Roman" w:hAnsi="Times New Roman" w:cs="Times New Roman"/>
                      <w:sz w:val="21"/>
                      <w:szCs w:val="21"/>
                      <w:lang w:eastAsia="zh-CN"/>
                    </w:rPr>
                    <w:t>O</w:t>
                  </w:r>
                  <w:r>
                    <w:rPr>
                      <w:rFonts w:ascii="Times New Roman" w:hAnsi="Times New Roman" w:cs="Times New Roman"/>
                      <w:sz w:val="21"/>
                      <w:szCs w:val="21"/>
                      <w:vertAlign w:val="subscript"/>
                      <w:lang w:eastAsia="zh-CN"/>
                    </w:rPr>
                    <w:t>X</w:t>
                  </w:r>
                </w:p>
              </w:tc>
              <w:tc>
                <w:tcPr>
                  <w:tcW w:w="3693" w:type="dxa"/>
                  <w:vAlign w:val="center"/>
                </w:tcPr>
                <w:p>
                  <w:pPr>
                    <w:pStyle w:val="54"/>
                    <w:jc w:val="center"/>
                    <w:rPr>
                      <w:rFonts w:ascii="Times New Roman" w:hAnsi="Times New Roman" w:cs="Times New Roman"/>
                      <w:sz w:val="21"/>
                      <w:szCs w:val="21"/>
                      <w:highlight w:val="yellow"/>
                      <w:lang w:eastAsia="zh-CN"/>
                    </w:rPr>
                  </w:pPr>
                  <w:r>
                    <w:rPr>
                      <w:rFonts w:hint="eastAsia" w:ascii="Times New Roman" w:hAnsi="Times New Roman" w:cs="Times New Roman"/>
                      <w:sz w:val="21"/>
                      <w:szCs w:val="21"/>
                      <w:lang w:eastAsia="zh-CN"/>
                    </w:rPr>
                    <w:t>废气均由竖井引至地面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364" w:type="dxa"/>
                  <w:vMerge w:val="continue"/>
                  <w:vAlign w:val="center"/>
                </w:tcPr>
                <w:p>
                  <w:pPr>
                    <w:pStyle w:val="54"/>
                    <w:jc w:val="center"/>
                    <w:rPr>
                      <w:rFonts w:ascii="Times New Roman" w:hAnsi="Times New Roman" w:cs="Times New Roman"/>
                      <w:sz w:val="21"/>
                      <w:szCs w:val="21"/>
                      <w:lang w:eastAsia="zh-CN"/>
                    </w:rPr>
                  </w:pPr>
                </w:p>
              </w:tc>
              <w:tc>
                <w:tcPr>
                  <w:tcW w:w="364" w:type="dxa"/>
                  <w:vMerge w:val="continue"/>
                  <w:vAlign w:val="center"/>
                </w:tcPr>
                <w:p>
                  <w:pPr>
                    <w:pStyle w:val="54"/>
                    <w:jc w:val="center"/>
                    <w:rPr>
                      <w:rFonts w:ascii="Times New Roman" w:hAnsi="Times New Roman" w:cs="Times New Roman"/>
                      <w:sz w:val="21"/>
                      <w:szCs w:val="21"/>
                      <w:lang w:eastAsia="zh-CN"/>
                    </w:rPr>
                  </w:pPr>
                </w:p>
              </w:tc>
              <w:tc>
                <w:tcPr>
                  <w:tcW w:w="1532" w:type="dxa"/>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eastAsia="zh-CN"/>
                    </w:rPr>
                    <w:t>垃圾房臭气</w:t>
                  </w:r>
                </w:p>
              </w:tc>
              <w:tc>
                <w:tcPr>
                  <w:tcW w:w="1680"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、H</w:t>
                  </w:r>
                  <w:r>
                    <w:rPr>
                      <w:rFonts w:ascii="Times New Roman" w:hAnsi="Times New Roman" w:cs="Times New Roman"/>
                      <w:sz w:val="21"/>
                      <w:szCs w:val="21"/>
                      <w:vertAlign w:val="subscript"/>
                    </w:rPr>
                    <w:t>2</w:t>
                  </w:r>
                  <w:r>
                    <w:rPr>
                      <w:rFonts w:ascii="Times New Roman" w:hAnsi="Times New Roman" w:cs="Times New Roman"/>
                      <w:sz w:val="21"/>
                      <w:szCs w:val="21"/>
                    </w:rPr>
                    <w:t>S</w:t>
                  </w:r>
                  <w:r>
                    <w:rPr>
                      <w:rFonts w:ascii="Times New Roman" w:hAnsi="Times New Roman" w:cs="Times New Roman"/>
                      <w:sz w:val="21"/>
                      <w:szCs w:val="21"/>
                      <w:lang w:eastAsia="zh-CN"/>
                    </w:rPr>
                    <w:t>、</w:t>
                  </w:r>
                  <w:r>
                    <w:rPr>
                      <w:rFonts w:hint="eastAsia" w:ascii="Times New Roman" w:hAnsi="Times New Roman" w:cs="Times New Roman"/>
                      <w:sz w:val="21"/>
                      <w:szCs w:val="21"/>
                      <w:lang w:eastAsia="zh-CN"/>
                    </w:rPr>
                    <w:t>臭气浓度</w:t>
                  </w:r>
                </w:p>
              </w:tc>
              <w:tc>
                <w:tcPr>
                  <w:tcW w:w="3693" w:type="dxa"/>
                  <w:vAlign w:val="center"/>
                </w:tcPr>
                <w:p>
                  <w:pPr>
                    <w:pStyle w:val="54"/>
                    <w:jc w:val="center"/>
                    <w:rPr>
                      <w:rFonts w:ascii="Times New Roman" w:hAnsi="Times New Roman" w:cs="Times New Roman"/>
                      <w:sz w:val="21"/>
                      <w:szCs w:val="21"/>
                      <w:highlight w:val="yellow"/>
                      <w:lang w:eastAsia="zh-CN"/>
                    </w:rPr>
                  </w:pPr>
                  <w:r>
                    <w:rPr>
                      <w:rFonts w:hint="eastAsia" w:ascii="Times New Roman" w:hAnsi="Times New Roman" w:cs="Times New Roman"/>
                      <w:sz w:val="21"/>
                      <w:szCs w:val="21"/>
                      <w:lang w:eastAsia="zh-CN"/>
                    </w:rPr>
                    <w:t>及时清运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364" w:type="dxa"/>
                  <w:vMerge w:val="continue"/>
                  <w:vAlign w:val="center"/>
                </w:tcPr>
                <w:p>
                  <w:pPr>
                    <w:pStyle w:val="54"/>
                    <w:jc w:val="center"/>
                    <w:rPr>
                      <w:rFonts w:ascii="Times New Roman" w:hAnsi="Times New Roman" w:cs="Times New Roman"/>
                      <w:sz w:val="21"/>
                      <w:szCs w:val="21"/>
                      <w:lang w:eastAsia="zh-CN"/>
                    </w:rPr>
                  </w:pPr>
                </w:p>
              </w:tc>
              <w:tc>
                <w:tcPr>
                  <w:tcW w:w="364" w:type="dxa"/>
                  <w:vMerge w:val="continue"/>
                  <w:vAlign w:val="center"/>
                </w:tcPr>
                <w:p>
                  <w:pPr>
                    <w:pStyle w:val="54"/>
                    <w:jc w:val="center"/>
                    <w:rPr>
                      <w:rFonts w:ascii="Times New Roman" w:hAnsi="Times New Roman" w:cs="Times New Roman"/>
                      <w:sz w:val="21"/>
                      <w:szCs w:val="21"/>
                      <w:lang w:eastAsia="zh-CN"/>
                    </w:rPr>
                  </w:pPr>
                </w:p>
              </w:tc>
              <w:tc>
                <w:tcPr>
                  <w:tcW w:w="1532" w:type="dxa"/>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eastAsia="zh-CN"/>
                    </w:rPr>
                    <w:t>食堂油烟废气</w:t>
                  </w:r>
                </w:p>
              </w:tc>
              <w:tc>
                <w:tcPr>
                  <w:tcW w:w="1680"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油烟</w:t>
                  </w:r>
                </w:p>
              </w:tc>
              <w:tc>
                <w:tcPr>
                  <w:tcW w:w="3693" w:type="dxa"/>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抽烟机+静电油烟净化装置（油烟去除率≥85%）</w:t>
                  </w:r>
                  <w:r>
                    <w:rPr>
                      <w:rFonts w:hint="eastAsia" w:ascii="Times New Roman" w:hAnsi="Times New Roman" w:cs="Times New Roman"/>
                      <w:sz w:val="21"/>
                      <w:szCs w:val="21"/>
                      <w:lang w:eastAsia="zh-CN"/>
                    </w:rPr>
                    <w:t>处理后屋顶排放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364" w:type="dxa"/>
                  <w:vMerge w:val="continue"/>
                  <w:vAlign w:val="center"/>
                </w:tcPr>
                <w:p>
                  <w:pPr>
                    <w:pStyle w:val="54"/>
                    <w:jc w:val="center"/>
                    <w:rPr>
                      <w:rFonts w:ascii="Times New Roman" w:hAnsi="Times New Roman" w:cs="Times New Roman"/>
                      <w:sz w:val="21"/>
                      <w:szCs w:val="21"/>
                      <w:lang w:eastAsia="zh-CN"/>
                    </w:rPr>
                  </w:pPr>
                </w:p>
              </w:tc>
              <w:tc>
                <w:tcPr>
                  <w:tcW w:w="364" w:type="dxa"/>
                  <w:vMerge w:val="restar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废水</w:t>
                  </w:r>
                </w:p>
              </w:tc>
              <w:tc>
                <w:tcPr>
                  <w:tcW w:w="1532" w:type="dxa"/>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eastAsia="zh-CN"/>
                    </w:rPr>
                    <w:t>生活污水</w:t>
                  </w:r>
                </w:p>
              </w:tc>
              <w:tc>
                <w:tcPr>
                  <w:tcW w:w="1680"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COD、SS、NH</w:t>
                  </w:r>
                  <w:r>
                    <w:rPr>
                      <w:rFonts w:ascii="Times New Roman" w:hAnsi="Times New Roman" w:cs="Times New Roman"/>
                      <w:sz w:val="21"/>
                      <w:szCs w:val="21"/>
                      <w:vertAlign w:val="subscript"/>
                    </w:rPr>
                    <w:t>3</w:t>
                  </w:r>
                  <w:r>
                    <w:rPr>
                      <w:rFonts w:ascii="Times New Roman" w:hAnsi="Times New Roman" w:cs="Times New Roman"/>
                      <w:sz w:val="21"/>
                      <w:szCs w:val="21"/>
                    </w:rPr>
                    <w:t>-N、动植物油</w:t>
                  </w:r>
                </w:p>
              </w:tc>
              <w:tc>
                <w:tcPr>
                  <w:tcW w:w="3693" w:type="dxa"/>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隔油池、化粪池处理后，</w:t>
                  </w:r>
                  <w:r>
                    <w:rPr>
                      <w:rFonts w:hint="eastAsia" w:ascii="Times New Roman" w:hAnsi="Times New Roman" w:cs="Times New Roman"/>
                      <w:sz w:val="21"/>
                      <w:szCs w:val="21"/>
                      <w:lang w:eastAsia="zh-CN"/>
                    </w:rPr>
                    <w:t>纳管排放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364" w:type="dxa"/>
                  <w:vMerge w:val="continue"/>
                  <w:vAlign w:val="center"/>
                </w:tcPr>
                <w:p>
                  <w:pPr>
                    <w:pStyle w:val="54"/>
                    <w:jc w:val="center"/>
                    <w:rPr>
                      <w:rFonts w:ascii="Times New Roman" w:hAnsi="Times New Roman" w:cs="Times New Roman"/>
                      <w:sz w:val="21"/>
                      <w:szCs w:val="21"/>
                      <w:lang w:eastAsia="zh-CN"/>
                    </w:rPr>
                  </w:pPr>
                </w:p>
              </w:tc>
              <w:tc>
                <w:tcPr>
                  <w:tcW w:w="364" w:type="dxa"/>
                  <w:vMerge w:val="continue"/>
                  <w:vAlign w:val="center"/>
                </w:tcPr>
                <w:p>
                  <w:pPr>
                    <w:pStyle w:val="54"/>
                    <w:jc w:val="center"/>
                    <w:rPr>
                      <w:rFonts w:ascii="Times New Roman" w:hAnsi="Times New Roman" w:cs="Times New Roman"/>
                      <w:sz w:val="21"/>
                      <w:szCs w:val="21"/>
                      <w:lang w:eastAsia="zh-CN"/>
                    </w:rPr>
                  </w:pPr>
                </w:p>
              </w:tc>
              <w:tc>
                <w:tcPr>
                  <w:tcW w:w="1532" w:type="dxa"/>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实验室废水</w:t>
                  </w:r>
                </w:p>
              </w:tc>
              <w:tc>
                <w:tcPr>
                  <w:tcW w:w="1680" w:type="dxa"/>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C</w:t>
                  </w:r>
                  <w:r>
                    <w:rPr>
                      <w:rFonts w:ascii="Times New Roman" w:hAnsi="Times New Roman" w:cs="Times New Roman"/>
                      <w:sz w:val="21"/>
                      <w:szCs w:val="21"/>
                      <w:lang w:eastAsia="zh-CN"/>
                    </w:rPr>
                    <w:t>OD</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SS</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NH</w:t>
                  </w:r>
                  <w:r>
                    <w:rPr>
                      <w:rFonts w:ascii="Times New Roman" w:hAnsi="Times New Roman" w:cs="Times New Roman"/>
                      <w:sz w:val="21"/>
                      <w:szCs w:val="21"/>
                      <w:vertAlign w:val="subscript"/>
                      <w:lang w:eastAsia="zh-CN"/>
                    </w:rPr>
                    <w:t>3</w:t>
                  </w:r>
                  <w:r>
                    <w:rPr>
                      <w:rFonts w:ascii="Times New Roman" w:hAnsi="Times New Roman" w:cs="Times New Roman"/>
                      <w:sz w:val="21"/>
                      <w:szCs w:val="21"/>
                      <w:lang w:eastAsia="zh-CN"/>
                    </w:rPr>
                    <w:t>-N</w:t>
                  </w:r>
                </w:p>
              </w:tc>
              <w:tc>
                <w:tcPr>
                  <w:tcW w:w="3693" w:type="dxa"/>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中和处理后纳管排放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4" w:type="dxa"/>
                  <w:vMerge w:val="continue"/>
                  <w:vAlign w:val="center"/>
                </w:tcPr>
                <w:p>
                  <w:pPr>
                    <w:pStyle w:val="54"/>
                    <w:jc w:val="center"/>
                    <w:rPr>
                      <w:rFonts w:ascii="Times New Roman" w:hAnsi="Times New Roman" w:cs="Times New Roman"/>
                      <w:sz w:val="21"/>
                      <w:szCs w:val="21"/>
                      <w:lang w:eastAsia="zh-CN"/>
                    </w:rPr>
                  </w:pPr>
                </w:p>
              </w:tc>
              <w:tc>
                <w:tcPr>
                  <w:tcW w:w="364"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噪声</w:t>
                  </w:r>
                </w:p>
              </w:tc>
              <w:tc>
                <w:tcPr>
                  <w:tcW w:w="1532" w:type="dxa"/>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泵、风机</w:t>
                  </w:r>
                  <w:r>
                    <w:rPr>
                      <w:rFonts w:hint="eastAsia" w:ascii="Times New Roman" w:hAnsi="Times New Roman" w:cs="Times New Roman"/>
                      <w:sz w:val="21"/>
                      <w:szCs w:val="21"/>
                      <w:lang w:eastAsia="zh-CN"/>
                    </w:rPr>
                    <w:t>、空调</w:t>
                  </w:r>
                  <w:r>
                    <w:rPr>
                      <w:rFonts w:ascii="Times New Roman" w:hAnsi="Times New Roman" w:cs="Times New Roman"/>
                      <w:sz w:val="21"/>
                      <w:szCs w:val="21"/>
                      <w:lang w:eastAsia="zh-CN"/>
                    </w:rPr>
                    <w:t>等</w:t>
                  </w:r>
                </w:p>
              </w:tc>
              <w:tc>
                <w:tcPr>
                  <w:tcW w:w="1680"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噪声</w:t>
                  </w:r>
                </w:p>
              </w:tc>
              <w:tc>
                <w:tcPr>
                  <w:tcW w:w="3693" w:type="dxa"/>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基础减振、建筑物隔声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4" w:type="dxa"/>
                  <w:vMerge w:val="continue"/>
                  <w:vAlign w:val="center"/>
                </w:tcPr>
                <w:p>
                  <w:pPr>
                    <w:pStyle w:val="54"/>
                    <w:jc w:val="center"/>
                    <w:rPr>
                      <w:rFonts w:ascii="Times New Roman" w:hAnsi="Times New Roman" w:cs="Times New Roman"/>
                      <w:sz w:val="21"/>
                      <w:szCs w:val="21"/>
                      <w:lang w:eastAsia="zh-CN"/>
                    </w:rPr>
                  </w:pPr>
                </w:p>
              </w:tc>
              <w:tc>
                <w:tcPr>
                  <w:tcW w:w="364" w:type="dxa"/>
                  <w:vMerge w:val="restar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固废</w:t>
                  </w:r>
                </w:p>
              </w:tc>
              <w:tc>
                <w:tcPr>
                  <w:tcW w:w="1532"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师生生活</w:t>
                  </w:r>
                </w:p>
              </w:tc>
              <w:tc>
                <w:tcPr>
                  <w:tcW w:w="1680"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生活垃圾</w:t>
                  </w:r>
                </w:p>
              </w:tc>
              <w:tc>
                <w:tcPr>
                  <w:tcW w:w="3693" w:type="dxa"/>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交由环卫部门清运处置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4" w:type="dxa"/>
                  <w:vMerge w:val="continue"/>
                  <w:vAlign w:val="center"/>
                </w:tcPr>
                <w:p>
                  <w:pPr>
                    <w:pStyle w:val="54"/>
                    <w:jc w:val="center"/>
                    <w:rPr>
                      <w:rFonts w:ascii="Times New Roman" w:hAnsi="Times New Roman" w:cs="Times New Roman"/>
                      <w:sz w:val="21"/>
                      <w:szCs w:val="21"/>
                      <w:lang w:eastAsia="zh-CN"/>
                    </w:rPr>
                  </w:pPr>
                </w:p>
              </w:tc>
              <w:tc>
                <w:tcPr>
                  <w:tcW w:w="364" w:type="dxa"/>
                  <w:vMerge w:val="continue"/>
                  <w:vAlign w:val="center"/>
                </w:tcPr>
                <w:p>
                  <w:pPr>
                    <w:pStyle w:val="54"/>
                    <w:jc w:val="center"/>
                    <w:rPr>
                      <w:rFonts w:ascii="Times New Roman" w:hAnsi="Times New Roman" w:cs="Times New Roman"/>
                      <w:sz w:val="21"/>
                      <w:szCs w:val="21"/>
                      <w:lang w:eastAsia="zh-CN"/>
                    </w:rPr>
                  </w:pPr>
                </w:p>
              </w:tc>
              <w:tc>
                <w:tcPr>
                  <w:tcW w:w="1532" w:type="dxa"/>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eastAsia="zh-CN"/>
                    </w:rPr>
                    <w:t>食堂</w:t>
                  </w:r>
                </w:p>
              </w:tc>
              <w:tc>
                <w:tcPr>
                  <w:tcW w:w="1680"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餐厨垃圾</w:t>
                  </w:r>
                </w:p>
              </w:tc>
              <w:tc>
                <w:tcPr>
                  <w:tcW w:w="3693" w:type="dxa"/>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由餐厨垃圾处理单位回收处置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4" w:type="dxa"/>
                  <w:vMerge w:val="continue"/>
                  <w:vAlign w:val="center"/>
                </w:tcPr>
                <w:p>
                  <w:pPr>
                    <w:pStyle w:val="54"/>
                    <w:jc w:val="center"/>
                    <w:rPr>
                      <w:rFonts w:ascii="Times New Roman" w:hAnsi="Times New Roman" w:cs="Times New Roman"/>
                      <w:sz w:val="21"/>
                      <w:szCs w:val="21"/>
                      <w:lang w:eastAsia="zh-CN"/>
                    </w:rPr>
                  </w:pPr>
                </w:p>
              </w:tc>
              <w:tc>
                <w:tcPr>
                  <w:tcW w:w="364" w:type="dxa"/>
                  <w:vMerge w:val="continue"/>
                  <w:vAlign w:val="center"/>
                </w:tcPr>
                <w:p>
                  <w:pPr>
                    <w:pStyle w:val="54"/>
                    <w:jc w:val="center"/>
                    <w:rPr>
                      <w:rFonts w:ascii="Times New Roman" w:hAnsi="Times New Roman" w:cs="Times New Roman"/>
                      <w:sz w:val="21"/>
                      <w:szCs w:val="21"/>
                      <w:lang w:eastAsia="zh-CN"/>
                    </w:rPr>
                  </w:pPr>
                </w:p>
              </w:tc>
              <w:tc>
                <w:tcPr>
                  <w:tcW w:w="1532" w:type="dxa"/>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隔油池</w:t>
                  </w:r>
                </w:p>
              </w:tc>
              <w:tc>
                <w:tcPr>
                  <w:tcW w:w="1680" w:type="dxa"/>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eastAsia="zh-CN"/>
                    </w:rPr>
                    <w:t>废油脂</w:t>
                  </w:r>
                </w:p>
              </w:tc>
              <w:tc>
                <w:tcPr>
                  <w:tcW w:w="3693" w:type="dxa"/>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有资质的单位清掏、处理处置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4" w:type="dxa"/>
                  <w:vMerge w:val="continue"/>
                  <w:vAlign w:val="center"/>
                </w:tcPr>
                <w:p>
                  <w:pPr>
                    <w:pStyle w:val="54"/>
                    <w:jc w:val="center"/>
                    <w:rPr>
                      <w:rFonts w:ascii="Times New Roman" w:hAnsi="Times New Roman" w:cs="Times New Roman"/>
                      <w:sz w:val="21"/>
                      <w:szCs w:val="21"/>
                      <w:lang w:eastAsia="zh-CN"/>
                    </w:rPr>
                  </w:pPr>
                </w:p>
              </w:tc>
              <w:tc>
                <w:tcPr>
                  <w:tcW w:w="364" w:type="dxa"/>
                  <w:vMerge w:val="continue"/>
                  <w:vAlign w:val="center"/>
                </w:tcPr>
                <w:p>
                  <w:pPr>
                    <w:pStyle w:val="54"/>
                    <w:jc w:val="center"/>
                    <w:rPr>
                      <w:rFonts w:ascii="Times New Roman" w:hAnsi="Times New Roman" w:cs="Times New Roman"/>
                      <w:sz w:val="21"/>
                      <w:szCs w:val="21"/>
                      <w:lang w:eastAsia="zh-CN"/>
                    </w:rPr>
                  </w:pPr>
                </w:p>
              </w:tc>
              <w:tc>
                <w:tcPr>
                  <w:tcW w:w="1532" w:type="dxa"/>
                  <w:tcBorders>
                    <w:top w:val="nil"/>
                  </w:tcBorders>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实验室废物</w:t>
                  </w:r>
                </w:p>
              </w:tc>
              <w:tc>
                <w:tcPr>
                  <w:tcW w:w="1680" w:type="dxa"/>
                  <w:vAlign w:val="center"/>
                </w:tcPr>
                <w:p>
                  <w:pPr>
                    <w:pStyle w:val="54"/>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包装容器、实验试剂、实验废液</w:t>
                  </w:r>
                </w:p>
              </w:tc>
              <w:tc>
                <w:tcPr>
                  <w:tcW w:w="3693" w:type="dxa"/>
                  <w:vMerge w:val="restart"/>
                  <w:vAlign w:val="center"/>
                </w:tcPr>
                <w:p>
                  <w:pPr>
                    <w:pStyle w:val="54"/>
                    <w:jc w:val="center"/>
                    <w:rPr>
                      <w:rFonts w:ascii="Times New Roman" w:hAnsi="Times New Roman" w:cs="Times New Roman"/>
                      <w:sz w:val="21"/>
                      <w:szCs w:val="21"/>
                      <w:lang w:eastAsia="zh-CN"/>
                    </w:rPr>
                  </w:pPr>
                  <w:r>
                    <w:rPr>
                      <w:rFonts w:ascii="Times New Roman" w:hAnsi="Times New Roman" w:cs="Times New Roman"/>
                      <w:sz w:val="21"/>
                      <w:szCs w:val="21"/>
                      <w:lang w:eastAsia="zh-CN"/>
                    </w:rPr>
                    <w:t>由专用容器收集后妥善暂存于危险废物暂存间，定期委托有危废处理资质的单位安全处置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4" w:type="dxa"/>
                  <w:vMerge w:val="continue"/>
                  <w:vAlign w:val="center"/>
                </w:tcPr>
                <w:p>
                  <w:pPr>
                    <w:autoSpaceDE w:val="0"/>
                    <w:autoSpaceDN w:val="0"/>
                    <w:spacing w:line="240" w:lineRule="auto"/>
                    <w:jc w:val="center"/>
                    <w:rPr>
                      <w:rFonts w:eastAsia="宋体"/>
                      <w:kern w:val="0"/>
                      <w:sz w:val="21"/>
                      <w:szCs w:val="21"/>
                      <w:lang w:eastAsia="en-US"/>
                    </w:rPr>
                  </w:pPr>
                </w:p>
              </w:tc>
              <w:tc>
                <w:tcPr>
                  <w:tcW w:w="364" w:type="dxa"/>
                  <w:vMerge w:val="continue"/>
                  <w:vAlign w:val="center"/>
                </w:tcPr>
                <w:p>
                  <w:pPr>
                    <w:autoSpaceDE w:val="0"/>
                    <w:autoSpaceDN w:val="0"/>
                    <w:spacing w:line="240" w:lineRule="auto"/>
                    <w:jc w:val="center"/>
                    <w:rPr>
                      <w:rFonts w:eastAsia="宋体"/>
                      <w:kern w:val="0"/>
                      <w:sz w:val="21"/>
                      <w:szCs w:val="21"/>
                      <w:lang w:eastAsia="en-US"/>
                    </w:rPr>
                  </w:pPr>
                </w:p>
              </w:tc>
              <w:tc>
                <w:tcPr>
                  <w:tcW w:w="1532"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lang w:eastAsia="zh-CN"/>
                    </w:rPr>
                    <w:t>医务室</w:t>
                  </w:r>
                </w:p>
              </w:tc>
              <w:tc>
                <w:tcPr>
                  <w:tcW w:w="1680" w:type="dxa"/>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医疗废物</w:t>
                  </w:r>
                </w:p>
              </w:tc>
              <w:tc>
                <w:tcPr>
                  <w:tcW w:w="3693" w:type="dxa"/>
                  <w:vMerge w:val="continue"/>
                  <w:vAlign w:val="center"/>
                </w:tcPr>
                <w:p>
                  <w:pPr>
                    <w:autoSpaceDE w:val="0"/>
                    <w:autoSpaceDN w:val="0"/>
                    <w:spacing w:line="240" w:lineRule="auto"/>
                    <w:jc w:val="center"/>
                    <w:rPr>
                      <w:rFonts w:eastAsia="宋体"/>
                      <w:kern w:val="0"/>
                      <w:sz w:val="21"/>
                      <w:szCs w:val="21"/>
                      <w:lang w:eastAsia="en-US"/>
                    </w:rPr>
                  </w:pPr>
                </w:p>
              </w:tc>
            </w:tr>
          </w:tbl>
          <w:p>
            <w:pPr>
              <w:pStyle w:val="16"/>
              <w:spacing w:line="240" w:lineRule="auto"/>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562" w:type="dxa"/>
          </w:tcPr>
          <w:p>
            <w:pPr>
              <w:pStyle w:val="16"/>
              <w:spacing w:line="240" w:lineRule="auto"/>
              <w:jc w:val="center"/>
              <w:rPr>
                <w:rFonts w:ascii="Times New Roman" w:hAnsi="Times New Roman" w:eastAsia="宋体" w:cs="Times New Roman"/>
              </w:rPr>
            </w:pPr>
            <w:r>
              <w:rPr>
                <w:rFonts w:hint="eastAsia" w:ascii="Times New Roman" w:hAnsi="Times New Roman" w:eastAsia="宋体" w:cs="Times New Roman"/>
              </w:rPr>
              <w:t>与项目有关的原有地块污染问题</w:t>
            </w:r>
          </w:p>
        </w:tc>
        <w:tc>
          <w:tcPr>
            <w:tcW w:w="7734" w:type="dxa"/>
          </w:tcPr>
          <w:p>
            <w:pPr>
              <w:ind w:firstLine="480" w:firstLineChars="200"/>
              <w:rPr>
                <w:rFonts w:eastAsia="宋体"/>
                <w:kern w:val="0"/>
              </w:rPr>
            </w:pPr>
            <w:r>
              <w:rPr>
                <w:rFonts w:hint="eastAsia" w:eastAsia="宋体"/>
                <w:kern w:val="0"/>
              </w:rPr>
              <w:t>1、地块内土壤环境质量情况</w:t>
            </w:r>
          </w:p>
          <w:p>
            <w:pPr>
              <w:ind w:firstLine="480" w:firstLineChars="200"/>
              <w:rPr>
                <w:rFonts w:eastAsia="宋体"/>
                <w:kern w:val="0"/>
              </w:rPr>
            </w:pPr>
            <w:r>
              <w:rPr>
                <w:rFonts w:eastAsia="宋体"/>
                <w:kern w:val="0"/>
              </w:rPr>
              <w:t>杭州澄天环保工程有限公司</w:t>
            </w:r>
            <w:r>
              <w:rPr>
                <w:rFonts w:hint="eastAsia" w:eastAsia="宋体"/>
                <w:kern w:val="0"/>
              </w:rPr>
              <w:t>于2023年4月调查编制了《</w:t>
            </w:r>
            <w:r>
              <w:rPr>
                <w:rFonts w:eastAsia="宋体"/>
                <w:kern w:val="0"/>
              </w:rPr>
              <w:t>临平联胜九年一贯制学校项目地块土壤污染状况初步调查</w:t>
            </w:r>
            <w:r>
              <w:rPr>
                <w:rFonts w:hint="eastAsia" w:eastAsia="宋体"/>
                <w:kern w:val="0"/>
              </w:rPr>
              <w:t>报告》，具体情况如下</w:t>
            </w:r>
            <w:r>
              <w:rPr>
                <w:rFonts w:eastAsia="宋体"/>
                <w:kern w:val="0"/>
              </w:rPr>
              <w:t>：</w:t>
            </w:r>
          </w:p>
          <w:p>
            <w:pPr>
              <w:ind w:firstLine="480" w:firstLineChars="200"/>
              <w:rPr>
                <w:rFonts w:eastAsia="宋体"/>
                <w:kern w:val="0"/>
              </w:rPr>
            </w:pPr>
            <w:r>
              <w:rPr>
                <w:rFonts w:eastAsia="宋体"/>
                <w:kern w:val="0"/>
              </w:rPr>
              <w:t>（1）土壤环境质量状况</w:t>
            </w:r>
          </w:p>
          <w:p>
            <w:pPr>
              <w:ind w:firstLine="480" w:firstLineChars="200"/>
              <w:rPr>
                <w:rFonts w:eastAsia="宋体"/>
                <w:kern w:val="0"/>
              </w:rPr>
            </w:pPr>
            <w:r>
              <w:rPr>
                <w:rFonts w:eastAsia="宋体"/>
                <w:kern w:val="0"/>
              </w:rPr>
              <w:t>土壤污染状况初步调查第一次采样（2022年4月）在地块内布设了13个土壤监测点位（柱状监测点7个，表层监测点6个，不含背景点），共送测39个土壤样品（含28个柱状土样、6个表层土样、5个土壤平行样），由于红线调整，第二次采样（2023年5月）在地块内补充布设4个土壤监测点位，共送测21个土壤样品（含2个土壤平行样）。共送测60个土壤样品（包含7个平行样）。</w:t>
            </w:r>
          </w:p>
          <w:p>
            <w:pPr>
              <w:ind w:firstLine="480" w:firstLineChars="200"/>
              <w:rPr>
                <w:rFonts w:eastAsia="宋体"/>
                <w:kern w:val="0"/>
              </w:rPr>
            </w:pPr>
            <w:r>
              <w:rPr>
                <w:rFonts w:eastAsia="宋体"/>
                <w:kern w:val="0"/>
              </w:rPr>
              <w:t>土壤样品检出项目包括：铜、镍、镉、铅、砷、汞、苯、1,2-二氯乙烷、乙苯、间，对-二甲苯、邻-二甲苯、pH值 无量纲、石油烃（C10-C40），所有项目均未超标。</w:t>
            </w:r>
          </w:p>
          <w:p>
            <w:pPr>
              <w:ind w:firstLine="480" w:firstLineChars="200"/>
              <w:rPr>
                <w:rFonts w:eastAsia="宋体"/>
                <w:kern w:val="0"/>
              </w:rPr>
            </w:pPr>
            <w:r>
              <w:rPr>
                <w:rFonts w:eastAsia="宋体"/>
                <w:kern w:val="0"/>
              </w:rPr>
              <w:t>（2）地下水环境质量状况</w:t>
            </w:r>
          </w:p>
          <w:p>
            <w:pPr>
              <w:ind w:firstLine="480" w:firstLineChars="200"/>
              <w:rPr>
                <w:rFonts w:eastAsia="宋体"/>
                <w:kern w:val="0"/>
              </w:rPr>
            </w:pPr>
            <w:r>
              <w:rPr>
                <w:rFonts w:eastAsia="宋体"/>
                <w:kern w:val="0"/>
              </w:rPr>
              <w:t>在场地内送测了4个地下水样品（其中包含1个地下水平行样，MW2平行）。</w:t>
            </w:r>
          </w:p>
          <w:p>
            <w:pPr>
              <w:ind w:firstLine="480" w:firstLineChars="200"/>
              <w:rPr>
                <w:rFonts w:eastAsia="宋体"/>
                <w:kern w:val="0"/>
              </w:rPr>
            </w:pPr>
            <w:r>
              <w:rPr>
                <w:rFonts w:eastAsia="宋体"/>
                <w:kern w:val="0"/>
              </w:rPr>
              <w:t>地下水样品检出项目包括：砷、镉、苯、甲苯、氯苯、乙苯、间，对-二甲苯、邻二甲苯、苯乙烯、石油类、总硬度（以CaCO3计）、耗氧量、溶解性总、固体、硫酸盐、挥发酚、氨氮、亚硝酸盐氮（以N计）、硝酸盐氮、（以N计）、氯化物、氟化物。</w:t>
            </w:r>
          </w:p>
          <w:p>
            <w:pPr>
              <w:ind w:firstLine="480" w:firstLineChars="200"/>
              <w:rPr>
                <w:rFonts w:eastAsia="宋体"/>
                <w:kern w:val="0"/>
              </w:rPr>
            </w:pPr>
            <w:r>
              <w:rPr>
                <w:rFonts w:eastAsia="宋体"/>
                <w:kern w:val="0"/>
              </w:rPr>
              <w:t>超标项目包括：氨氮。</w:t>
            </w:r>
          </w:p>
          <w:p>
            <w:pPr>
              <w:ind w:firstLine="480" w:firstLineChars="200"/>
              <w:rPr>
                <w:rFonts w:eastAsia="宋体"/>
                <w:kern w:val="0"/>
              </w:rPr>
            </w:pPr>
            <w:r>
              <w:rPr>
                <w:rFonts w:eastAsia="宋体"/>
                <w:kern w:val="0"/>
              </w:rPr>
              <w:t>（3）地表水环境质量</w:t>
            </w:r>
          </w:p>
          <w:p>
            <w:pPr>
              <w:ind w:firstLine="480" w:firstLineChars="200"/>
              <w:rPr>
                <w:rFonts w:eastAsia="宋体"/>
                <w:kern w:val="0"/>
              </w:rPr>
            </w:pPr>
            <w:r>
              <w:rPr>
                <w:rFonts w:eastAsia="宋体"/>
                <w:kern w:val="0"/>
              </w:rPr>
              <w:t>在场地内共送测了2个地表水样品（包括1个平行样）。</w:t>
            </w:r>
          </w:p>
          <w:p>
            <w:pPr>
              <w:ind w:firstLine="480" w:firstLineChars="200"/>
              <w:rPr>
                <w:rFonts w:eastAsia="宋体"/>
                <w:kern w:val="0"/>
              </w:rPr>
            </w:pPr>
            <w:r>
              <w:rPr>
                <w:rFonts w:eastAsia="宋体"/>
                <w:kern w:val="0"/>
              </w:rPr>
              <w:t>地表水样品检出项目包括：砷、镉、苯、乙苯、间，对-二甲苯、石油类、总硬度（以CaCO</w:t>
            </w:r>
            <w:r>
              <w:rPr>
                <w:rFonts w:eastAsia="宋体"/>
                <w:kern w:val="0"/>
                <w:vertAlign w:val="subscript"/>
              </w:rPr>
              <w:t>3</w:t>
            </w:r>
            <w:r>
              <w:rPr>
                <w:rFonts w:eastAsia="宋体"/>
                <w:kern w:val="0"/>
              </w:rPr>
              <w:t>计）、耗氧量、溶解性总固体、硫酸盐、挥发酚、阴离子表面活性剂、氨氮、硝酸盐氮（以N计）、氯化物、氟化物。</w:t>
            </w:r>
          </w:p>
          <w:p>
            <w:pPr>
              <w:ind w:firstLine="480" w:firstLineChars="200"/>
              <w:rPr>
                <w:rFonts w:eastAsia="宋体"/>
                <w:kern w:val="0"/>
              </w:rPr>
            </w:pPr>
            <w:r>
              <w:rPr>
                <w:rFonts w:eastAsia="宋体"/>
                <w:kern w:val="0"/>
              </w:rPr>
              <w:t>超标项目包括：氨氮。</w:t>
            </w:r>
          </w:p>
          <w:p>
            <w:pPr>
              <w:ind w:firstLine="480" w:firstLineChars="200"/>
              <w:rPr>
                <w:rFonts w:eastAsia="宋体"/>
                <w:kern w:val="0"/>
              </w:rPr>
            </w:pPr>
            <w:r>
              <w:rPr>
                <w:rFonts w:eastAsia="宋体"/>
                <w:kern w:val="0"/>
              </w:rPr>
              <w:t>临平联胜九年一贯制学校项目地块土壤污染状况初步调查结果表明：该地块土壤样品各检出污染物浓度均低于《土壤环境质量 建设用地土壤污染风险管控标准（试行）》（GB36600-2018）第一类用地筛选值。地下水各检出污染物浓度除氨氮外均满足《地下水质量标准》（GB/T 14848-2017）Ⅳ类水标准限值要求，地表水样品各检出污染物除氨氮外均达到《地表水环境质量标准》（GB 3838-2002）Ⅳ类水标准限值要求，推测由于地块内河道已断流，水体逐渐干涸并不与其他水体交换，导致水质变差，进而影响地下水。根据《地下水健康风险评估工作指南》，场地地下水不作为饮用水且不涉及地下水饮用水源补给径流区和保护区的前提下，氨氮不是有毒有害指标，无需开展人体健康风险评估工作。且根据地块后续规划利用情况，地下水及地块内地表水均不做利用。</w:t>
            </w:r>
          </w:p>
          <w:p>
            <w:pPr>
              <w:ind w:firstLine="480" w:firstLineChars="200"/>
              <w:rPr>
                <w:rFonts w:eastAsia="宋体"/>
                <w:kern w:val="0"/>
              </w:rPr>
            </w:pPr>
            <w:r>
              <w:rPr>
                <w:rFonts w:eastAsia="宋体"/>
                <w:kern w:val="0"/>
              </w:rPr>
              <w:t>综上</w:t>
            </w:r>
            <w:r>
              <w:rPr>
                <w:rFonts w:hint="eastAsia" w:eastAsia="宋体"/>
                <w:kern w:val="0"/>
              </w:rPr>
              <w:t>，</w:t>
            </w:r>
            <w:r>
              <w:rPr>
                <w:rFonts w:eastAsia="宋体"/>
                <w:kern w:val="0"/>
              </w:rPr>
              <w:t>临平联胜九年一贯制学校项目地块满足《浙江省建设用地土壤污染风险管控和修复监督管理办法》（浙环发[2021]21号）敏感用地开发要求，可以作为《国土空间调查、规划、用途管制用地用海分类指南》（自然资办发〔2020〕51号）属于公共管理与公共服务用地（08）中的中小学用地（080403）使用，无需开展后续详细调查工作。</w:t>
            </w:r>
          </w:p>
          <w:p>
            <w:pPr>
              <w:ind w:firstLine="480" w:firstLineChars="200"/>
              <w:rPr>
                <w:rFonts w:eastAsia="宋体"/>
                <w:kern w:val="0"/>
              </w:rPr>
            </w:pPr>
            <w:r>
              <w:rPr>
                <w:rFonts w:eastAsia="宋体"/>
                <w:kern w:val="0"/>
              </w:rPr>
              <w:t>2</w:t>
            </w:r>
            <w:r>
              <w:rPr>
                <w:rFonts w:hint="eastAsia" w:eastAsia="宋体"/>
                <w:kern w:val="0"/>
              </w:rPr>
              <w:t>、现场勘察情况</w:t>
            </w:r>
          </w:p>
          <w:p>
            <w:pPr>
              <w:ind w:firstLine="480" w:firstLineChars="200"/>
              <w:rPr>
                <w:rFonts w:eastAsia="宋体"/>
                <w:kern w:val="0"/>
                <w:lang w:bidi="ar"/>
              </w:rPr>
            </w:pPr>
            <w:r>
              <w:rPr>
                <w:rFonts w:eastAsia="宋体"/>
                <w:kern w:val="0"/>
                <w:lang w:bidi="ar"/>
              </w:rPr>
              <w:t>2022年4月1日对临平联胜九年一贯制学校项目地块进行了第一次踏勘。目前该地块东侧为农田，西侧为沪杭高速公路临平段改建工程联合体项目经理部及监理办，由南到北以此为办公楼、民工宿舍、水泥搅拌站、石材堆放区域。于2023年5月13日进行了第二次踏勘，此时沪杭高速公路临平段改建工程联合体项目经理部及监理办已经拆除，并且地面建筑及水泥硬化层均已去除，恢复表土状态。场地东侧道路修建时产生堆土放置在红线内，为农用表土，第一批覆土面积约为7455m</w:t>
            </w:r>
            <w:r>
              <w:rPr>
                <w:rFonts w:eastAsia="宋体"/>
                <w:kern w:val="0"/>
                <w:vertAlign w:val="superscript"/>
                <w:lang w:bidi="ar"/>
              </w:rPr>
              <w:t>2</w:t>
            </w:r>
            <w:r>
              <w:rPr>
                <w:rFonts w:eastAsia="宋体"/>
                <w:kern w:val="0"/>
                <w:lang w:bidi="ar"/>
              </w:rPr>
              <w:t>，堆土厚度约为1m，土方量约为7455m</w:t>
            </w:r>
            <w:r>
              <w:rPr>
                <w:rFonts w:eastAsia="宋体"/>
                <w:kern w:val="0"/>
                <w:vertAlign w:val="superscript"/>
                <w:lang w:bidi="ar"/>
              </w:rPr>
              <w:t>3</w:t>
            </w:r>
            <w:r>
              <w:rPr>
                <w:rFonts w:eastAsia="宋体"/>
                <w:kern w:val="0"/>
                <w:lang w:bidi="ar"/>
              </w:rPr>
              <w:t>；第二批堆土为地块东侧道路拓宽挖深的砂石土壤，量少且堆放时间短，基本为深层砂石，未见污染痕迹且石块无法进行采样分析，综合判断对场地几乎无污染可能。地块表面未见污染现象，整个地块未见异常无异味。</w:t>
            </w:r>
          </w:p>
          <w:p>
            <w:pPr>
              <w:ind w:firstLine="480" w:firstLineChars="200"/>
              <w:rPr>
                <w:rFonts w:hint="eastAsia" w:eastAsia="宋体"/>
                <w:kern w:val="0"/>
                <w:lang w:val="en-US" w:eastAsia="zh-CN" w:bidi="ar"/>
              </w:rPr>
            </w:pPr>
            <w:r>
              <w:rPr>
                <w:rFonts w:hint="eastAsia" w:eastAsia="宋体"/>
                <w:kern w:val="0"/>
                <w:lang w:val="en-US" w:eastAsia="zh-CN" w:bidi="ar"/>
              </w:rPr>
              <w:t>3、批复情况</w:t>
            </w:r>
          </w:p>
          <w:p>
            <w:pPr>
              <w:ind w:firstLine="480" w:firstLineChars="200"/>
              <w:rPr>
                <w:rFonts w:hint="default" w:eastAsia="宋体"/>
                <w:kern w:val="0"/>
                <w:lang w:val="en-US" w:eastAsia="zh-CN" w:bidi="ar"/>
              </w:rPr>
            </w:pPr>
            <w:r>
              <w:rPr>
                <w:rFonts w:hint="eastAsia" w:eastAsia="宋体"/>
                <w:kern w:val="0"/>
                <w:lang w:val="en-US" w:eastAsia="zh-CN"/>
              </w:rPr>
              <w:t>本地块土壤污染状况初步调查报告于2023年9月通过专家评审</w:t>
            </w:r>
            <w:r>
              <w:rPr>
                <w:rFonts w:eastAsia="宋体"/>
                <w:kern w:val="0"/>
              </w:rPr>
              <w:t>。</w:t>
            </w:r>
            <w:r>
              <w:rPr>
                <w:rFonts w:hint="eastAsia" w:eastAsia="宋体"/>
                <w:kern w:val="0"/>
                <w:lang w:val="en-US" w:eastAsia="zh-CN"/>
              </w:rPr>
              <w:t>于2023年9月27日获得杭州市生态环境局临平分局批复。（见附件12）</w:t>
            </w:r>
          </w:p>
        </w:tc>
      </w:tr>
    </w:tbl>
    <w:p>
      <w:pPr>
        <w:pStyle w:val="16"/>
        <w:jc w:val="center"/>
        <w:rPr>
          <w:rFonts w:ascii="Times New Roman" w:hAnsi="Times New Roman" w:eastAsia="宋体" w:cs="Times New Roman"/>
        </w:rPr>
        <w:sectPr>
          <w:pgSz w:w="11906" w:h="16838"/>
          <w:pgMar w:top="1440" w:right="1800" w:bottom="1440" w:left="1800" w:header="851" w:footer="992" w:gutter="0"/>
          <w:pgNumType w:fmt="decimal"/>
          <w:cols w:space="425" w:num="1"/>
          <w:docGrid w:type="lines" w:linePitch="312" w:charSpace="0"/>
        </w:sectPr>
      </w:pPr>
    </w:p>
    <w:p>
      <w:pPr>
        <w:pStyle w:val="16"/>
        <w:numPr>
          <w:ilvl w:val="0"/>
          <w:numId w:val="5"/>
        </w:numPr>
        <w:ind w:left="482" w:hanging="482"/>
        <w:jc w:val="center"/>
        <w:outlineLvl w:val="0"/>
        <w:rPr>
          <w:rFonts w:ascii="Times New Roman" w:hAnsi="Times New Roman" w:eastAsia="宋体" w:cs="Times New Roman"/>
          <w:b/>
          <w:bCs/>
        </w:rPr>
      </w:pPr>
      <w:bookmarkStart w:id="4" w:name="_Toc140406079"/>
      <w:r>
        <w:rPr>
          <w:rFonts w:hint="eastAsia" w:ascii="Times New Roman" w:hAnsi="Times New Roman" w:eastAsia="宋体" w:cs="Times New Roman"/>
          <w:b/>
          <w:bCs/>
        </w:rPr>
        <w:t>区域环境质量现状、环境保护目标及评价标准</w:t>
      </w:r>
      <w:bookmarkEnd w:id="4"/>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7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16"/>
              <w:spacing w:line="240" w:lineRule="auto"/>
              <w:jc w:val="center"/>
              <w:rPr>
                <w:rFonts w:ascii="Times New Roman" w:hAnsi="Times New Roman" w:eastAsia="宋体" w:cs="Times New Roman"/>
              </w:rPr>
            </w:pPr>
            <w:r>
              <w:rPr>
                <w:rFonts w:hint="eastAsia" w:ascii="Times New Roman" w:hAnsi="Times New Roman" w:eastAsia="宋体" w:cs="Times New Roman"/>
              </w:rPr>
              <w:t>区域环境质量现状</w:t>
            </w:r>
          </w:p>
        </w:tc>
        <w:tc>
          <w:tcPr>
            <w:tcW w:w="7734" w:type="dxa"/>
          </w:tcPr>
          <w:p>
            <w:pPr>
              <w:adjustRightInd w:val="0"/>
              <w:snapToGrid w:val="0"/>
              <w:spacing w:line="440" w:lineRule="exact"/>
              <w:rPr>
                <w:rFonts w:eastAsia="宋体"/>
                <w:b/>
                <w:kern w:val="0"/>
              </w:rPr>
            </w:pPr>
            <w:r>
              <w:rPr>
                <w:rFonts w:eastAsia="宋体"/>
                <w:b/>
                <w:kern w:val="0"/>
              </w:rPr>
              <w:t>1</w:t>
            </w:r>
            <w:r>
              <w:rPr>
                <w:rFonts w:hAnsi="宋体" w:eastAsia="宋体"/>
                <w:b/>
                <w:kern w:val="0"/>
              </w:rPr>
              <w:t>、环境空气质量现状</w:t>
            </w:r>
          </w:p>
          <w:p>
            <w:pPr>
              <w:adjustRightInd w:val="0"/>
              <w:snapToGrid w:val="0"/>
              <w:spacing w:line="440" w:lineRule="exact"/>
              <w:ind w:firstLine="480" w:firstLineChars="200"/>
              <w:rPr>
                <w:rFonts w:hAnsi="宋体" w:eastAsia="宋体"/>
                <w:kern w:val="0"/>
              </w:rPr>
            </w:pPr>
            <w:r>
              <w:rPr>
                <w:rFonts w:hint="eastAsia" w:hAnsi="宋体" w:eastAsia="宋体"/>
                <w:kern w:val="0"/>
              </w:rPr>
              <w:t>（1）基本污染物环境质量现状</w:t>
            </w:r>
          </w:p>
          <w:p>
            <w:pPr>
              <w:ind w:firstLine="480" w:firstLineChars="200"/>
              <w:rPr>
                <w:rFonts w:eastAsia="宋体"/>
              </w:rPr>
            </w:pPr>
            <w:r>
              <w:rPr>
                <w:rFonts w:hint="eastAsia" w:eastAsia="宋体"/>
              </w:rPr>
              <w:t>为了了解评价基准年（2022年）项目所在区域环境质量情况，本次评价引用《2022年杭州市临平区生态环境状况公报》中的相关数据。</w:t>
            </w:r>
          </w:p>
          <w:p>
            <w:pPr>
              <w:pStyle w:val="16"/>
              <w:spacing w:before="156" w:beforeLines="50" w:line="24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表3-1 202</w:t>
            </w:r>
            <w:r>
              <w:rPr>
                <w:rFonts w:hint="eastAsia" w:ascii="Times New Roman" w:hAnsi="Times New Roman" w:eastAsia="宋体" w:cs="Times New Roman"/>
                <w:b/>
                <w:bCs/>
                <w:sz w:val="21"/>
                <w:szCs w:val="21"/>
              </w:rPr>
              <w:t>2</w:t>
            </w:r>
            <w:r>
              <w:rPr>
                <w:rFonts w:ascii="Times New Roman" w:hAnsi="Times New Roman" w:eastAsia="宋体" w:cs="Times New Roman"/>
                <w:b/>
                <w:bCs/>
                <w:sz w:val="21"/>
                <w:szCs w:val="21"/>
              </w:rPr>
              <w:t>年</w:t>
            </w:r>
            <w:r>
              <w:rPr>
                <w:rFonts w:hint="eastAsia" w:ascii="Times New Roman" w:hAnsi="Times New Roman" w:eastAsia="宋体" w:cs="Times New Roman"/>
                <w:b/>
                <w:bCs/>
                <w:sz w:val="21"/>
                <w:szCs w:val="21"/>
              </w:rPr>
              <w:t>临平区</w:t>
            </w:r>
            <w:r>
              <w:rPr>
                <w:rFonts w:ascii="Times New Roman" w:hAnsi="Times New Roman" w:eastAsia="宋体" w:cs="Times New Roman"/>
                <w:b/>
                <w:bCs/>
                <w:sz w:val="21"/>
                <w:szCs w:val="21"/>
              </w:rPr>
              <w:t>环境空气质量现状评价表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2395"/>
              <w:gridCol w:w="1163"/>
              <w:gridCol w:w="1164"/>
              <w:gridCol w:w="949"/>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pct"/>
                  <w:vAlign w:val="center"/>
                </w:tcPr>
                <w:p>
                  <w:pPr>
                    <w:widowControl/>
                    <w:spacing w:line="240" w:lineRule="auto"/>
                    <w:jc w:val="center"/>
                    <w:rPr>
                      <w:rFonts w:eastAsia="宋体"/>
                      <w:b/>
                      <w:bCs/>
                      <w:kern w:val="0"/>
                      <w:sz w:val="21"/>
                      <w:szCs w:val="21"/>
                    </w:rPr>
                  </w:pPr>
                  <w:r>
                    <w:rPr>
                      <w:rFonts w:eastAsia="宋体"/>
                      <w:b/>
                      <w:bCs/>
                      <w:kern w:val="0"/>
                      <w:sz w:val="21"/>
                      <w:szCs w:val="21"/>
                    </w:rPr>
                    <w:t>污染物</w:t>
                  </w:r>
                </w:p>
              </w:tc>
              <w:tc>
                <w:tcPr>
                  <w:tcW w:w="1604" w:type="pct"/>
                  <w:vAlign w:val="center"/>
                </w:tcPr>
                <w:p>
                  <w:pPr>
                    <w:widowControl/>
                    <w:spacing w:line="240" w:lineRule="auto"/>
                    <w:jc w:val="center"/>
                    <w:rPr>
                      <w:rFonts w:eastAsia="宋体"/>
                      <w:b/>
                      <w:bCs/>
                      <w:kern w:val="0"/>
                      <w:sz w:val="21"/>
                      <w:szCs w:val="21"/>
                    </w:rPr>
                  </w:pPr>
                  <w:r>
                    <w:rPr>
                      <w:rFonts w:eastAsia="宋体"/>
                      <w:b/>
                      <w:bCs/>
                      <w:kern w:val="0"/>
                      <w:sz w:val="21"/>
                      <w:szCs w:val="21"/>
                    </w:rPr>
                    <w:t>年评价指标</w:t>
                  </w:r>
                </w:p>
              </w:tc>
              <w:tc>
                <w:tcPr>
                  <w:tcW w:w="755" w:type="pct"/>
                  <w:vAlign w:val="center"/>
                </w:tcPr>
                <w:p>
                  <w:pPr>
                    <w:widowControl/>
                    <w:spacing w:line="240" w:lineRule="auto"/>
                    <w:jc w:val="center"/>
                    <w:rPr>
                      <w:rFonts w:eastAsia="宋体"/>
                      <w:b/>
                      <w:bCs/>
                      <w:kern w:val="0"/>
                      <w:sz w:val="21"/>
                      <w:szCs w:val="21"/>
                    </w:rPr>
                  </w:pPr>
                  <w:r>
                    <w:rPr>
                      <w:rFonts w:eastAsia="宋体"/>
                      <w:b/>
                      <w:bCs/>
                      <w:kern w:val="0"/>
                      <w:sz w:val="21"/>
                      <w:szCs w:val="21"/>
                    </w:rPr>
                    <w:t>现状浓度/</w:t>
                  </w:r>
                  <w:r>
                    <w:rPr>
                      <w:rFonts w:hint="eastAsia" w:eastAsia="宋体"/>
                      <w:b/>
                      <w:bCs/>
                      <w:kern w:val="0"/>
                      <w:sz w:val="21"/>
                      <w:szCs w:val="21"/>
                    </w:rPr>
                    <w:t>（</w:t>
                  </w:r>
                  <w:r>
                    <w:rPr>
                      <w:rFonts w:eastAsia="宋体"/>
                      <w:b/>
                      <w:bCs/>
                      <w:kern w:val="0"/>
                      <w:sz w:val="21"/>
                      <w:szCs w:val="21"/>
                    </w:rPr>
                    <w:t>μg/m</w:t>
                  </w:r>
                  <w:r>
                    <w:rPr>
                      <w:rFonts w:eastAsia="宋体"/>
                      <w:b/>
                      <w:bCs/>
                      <w:kern w:val="0"/>
                      <w:sz w:val="21"/>
                      <w:szCs w:val="21"/>
                      <w:vertAlign w:val="superscript"/>
                    </w:rPr>
                    <w:t>3</w:t>
                  </w:r>
                  <w:r>
                    <w:rPr>
                      <w:rFonts w:hint="eastAsia" w:eastAsia="宋体"/>
                      <w:b/>
                      <w:bCs/>
                      <w:kern w:val="0"/>
                      <w:sz w:val="21"/>
                      <w:szCs w:val="21"/>
                    </w:rPr>
                    <w:t>）</w:t>
                  </w:r>
                </w:p>
              </w:tc>
              <w:tc>
                <w:tcPr>
                  <w:tcW w:w="755" w:type="pct"/>
                  <w:vAlign w:val="center"/>
                </w:tcPr>
                <w:p>
                  <w:pPr>
                    <w:widowControl/>
                    <w:spacing w:line="240" w:lineRule="auto"/>
                    <w:jc w:val="center"/>
                    <w:rPr>
                      <w:rFonts w:eastAsia="宋体"/>
                      <w:b/>
                      <w:bCs/>
                      <w:kern w:val="0"/>
                      <w:sz w:val="21"/>
                      <w:szCs w:val="21"/>
                    </w:rPr>
                  </w:pPr>
                  <w:r>
                    <w:rPr>
                      <w:rFonts w:eastAsia="宋体"/>
                      <w:b/>
                      <w:bCs/>
                      <w:kern w:val="0"/>
                      <w:sz w:val="21"/>
                      <w:szCs w:val="21"/>
                    </w:rPr>
                    <w:t>标准值/</w:t>
                  </w:r>
                  <w:r>
                    <w:rPr>
                      <w:rFonts w:hint="eastAsia" w:eastAsia="宋体"/>
                      <w:b/>
                      <w:bCs/>
                      <w:kern w:val="0"/>
                      <w:sz w:val="21"/>
                      <w:szCs w:val="21"/>
                    </w:rPr>
                    <w:t>（</w:t>
                  </w:r>
                  <w:r>
                    <w:rPr>
                      <w:rFonts w:eastAsia="宋体"/>
                      <w:b/>
                      <w:bCs/>
                      <w:kern w:val="0"/>
                      <w:sz w:val="21"/>
                      <w:szCs w:val="21"/>
                    </w:rPr>
                    <w:t>μg/m</w:t>
                  </w:r>
                  <w:r>
                    <w:rPr>
                      <w:rFonts w:eastAsia="宋体"/>
                      <w:b/>
                      <w:bCs/>
                      <w:kern w:val="0"/>
                      <w:sz w:val="21"/>
                      <w:szCs w:val="21"/>
                      <w:vertAlign w:val="superscript"/>
                    </w:rPr>
                    <w:t>3</w:t>
                  </w:r>
                  <w:r>
                    <w:rPr>
                      <w:rFonts w:hint="eastAsia" w:eastAsia="宋体"/>
                      <w:b/>
                      <w:bCs/>
                      <w:kern w:val="0"/>
                      <w:sz w:val="21"/>
                      <w:szCs w:val="21"/>
                    </w:rPr>
                    <w:t>）</w:t>
                  </w:r>
                </w:p>
              </w:tc>
              <w:tc>
                <w:tcPr>
                  <w:tcW w:w="641" w:type="pct"/>
                  <w:vAlign w:val="center"/>
                </w:tcPr>
                <w:p>
                  <w:pPr>
                    <w:widowControl/>
                    <w:spacing w:line="240" w:lineRule="auto"/>
                    <w:jc w:val="center"/>
                    <w:rPr>
                      <w:rFonts w:eastAsia="宋体"/>
                      <w:b/>
                      <w:bCs/>
                      <w:kern w:val="0"/>
                      <w:sz w:val="21"/>
                      <w:szCs w:val="21"/>
                    </w:rPr>
                  </w:pPr>
                  <w:r>
                    <w:rPr>
                      <w:rFonts w:eastAsia="宋体"/>
                      <w:b/>
                      <w:bCs/>
                      <w:kern w:val="0"/>
                      <w:sz w:val="21"/>
                      <w:szCs w:val="21"/>
                    </w:rPr>
                    <w:t>占标率/</w:t>
                  </w:r>
                  <w:r>
                    <w:rPr>
                      <w:rFonts w:hint="eastAsia" w:eastAsia="宋体"/>
                      <w:b/>
                      <w:bCs/>
                      <w:kern w:val="0"/>
                      <w:sz w:val="21"/>
                      <w:szCs w:val="21"/>
                    </w:rPr>
                    <w:t>（</w:t>
                  </w:r>
                  <w:r>
                    <w:rPr>
                      <w:rFonts w:eastAsia="宋体"/>
                      <w:b/>
                      <w:bCs/>
                      <w:kern w:val="0"/>
                      <w:sz w:val="21"/>
                      <w:szCs w:val="21"/>
                    </w:rPr>
                    <w:t>%</w:t>
                  </w:r>
                  <w:r>
                    <w:rPr>
                      <w:rFonts w:hint="eastAsia" w:eastAsia="宋体"/>
                      <w:b/>
                      <w:bCs/>
                      <w:kern w:val="0"/>
                      <w:sz w:val="21"/>
                      <w:szCs w:val="21"/>
                    </w:rPr>
                    <w:t>）</w:t>
                  </w:r>
                </w:p>
              </w:tc>
              <w:tc>
                <w:tcPr>
                  <w:tcW w:w="566" w:type="pct"/>
                  <w:vAlign w:val="center"/>
                </w:tcPr>
                <w:p>
                  <w:pPr>
                    <w:widowControl/>
                    <w:spacing w:line="240" w:lineRule="auto"/>
                    <w:jc w:val="center"/>
                    <w:rPr>
                      <w:rFonts w:eastAsia="宋体"/>
                      <w:b/>
                      <w:bCs/>
                      <w:kern w:val="0"/>
                      <w:sz w:val="21"/>
                      <w:szCs w:val="21"/>
                    </w:rPr>
                  </w:pPr>
                  <w:r>
                    <w:rPr>
                      <w:rFonts w:eastAsia="宋体"/>
                      <w:b/>
                      <w:bCs/>
                      <w:kern w:val="0"/>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pct"/>
                  <w:vAlign w:val="center"/>
                </w:tcPr>
                <w:p>
                  <w:pPr>
                    <w:widowControl/>
                    <w:spacing w:line="240" w:lineRule="auto"/>
                    <w:jc w:val="center"/>
                    <w:rPr>
                      <w:rFonts w:eastAsia="宋体"/>
                      <w:kern w:val="0"/>
                      <w:sz w:val="21"/>
                      <w:szCs w:val="21"/>
                    </w:rPr>
                  </w:pPr>
                  <w:r>
                    <w:rPr>
                      <w:rFonts w:eastAsia="宋体"/>
                      <w:kern w:val="0"/>
                      <w:sz w:val="21"/>
                      <w:szCs w:val="21"/>
                    </w:rPr>
                    <w:t>PM</w:t>
                  </w:r>
                  <w:r>
                    <w:rPr>
                      <w:rFonts w:eastAsia="宋体"/>
                      <w:kern w:val="0"/>
                      <w:sz w:val="21"/>
                      <w:szCs w:val="21"/>
                      <w:vertAlign w:val="subscript"/>
                    </w:rPr>
                    <w:t>2.5</w:t>
                  </w:r>
                </w:p>
              </w:tc>
              <w:tc>
                <w:tcPr>
                  <w:tcW w:w="1604" w:type="pct"/>
                  <w:vAlign w:val="center"/>
                </w:tcPr>
                <w:p>
                  <w:pPr>
                    <w:widowControl/>
                    <w:spacing w:line="240" w:lineRule="auto"/>
                    <w:jc w:val="center"/>
                    <w:rPr>
                      <w:rFonts w:eastAsia="宋体"/>
                      <w:kern w:val="0"/>
                      <w:sz w:val="21"/>
                      <w:szCs w:val="21"/>
                    </w:rPr>
                  </w:pPr>
                  <w:r>
                    <w:rPr>
                      <w:rFonts w:eastAsia="宋体"/>
                      <w:kern w:val="0"/>
                      <w:sz w:val="21"/>
                      <w:szCs w:val="21"/>
                    </w:rPr>
                    <w:t>年平均质量浓度</w:t>
                  </w:r>
                </w:p>
              </w:tc>
              <w:tc>
                <w:tcPr>
                  <w:tcW w:w="755" w:type="pct"/>
                  <w:vAlign w:val="center"/>
                </w:tcPr>
                <w:p>
                  <w:pPr>
                    <w:pStyle w:val="55"/>
                    <w:rPr>
                      <w:sz w:val="21"/>
                      <w:szCs w:val="21"/>
                    </w:rPr>
                  </w:pPr>
                  <w:r>
                    <w:rPr>
                      <w:rFonts w:hint="eastAsia"/>
                      <w:sz w:val="21"/>
                      <w:szCs w:val="21"/>
                    </w:rPr>
                    <w:t>30.2</w:t>
                  </w:r>
                </w:p>
              </w:tc>
              <w:tc>
                <w:tcPr>
                  <w:tcW w:w="755" w:type="pct"/>
                  <w:vAlign w:val="center"/>
                </w:tcPr>
                <w:p>
                  <w:pPr>
                    <w:pStyle w:val="55"/>
                    <w:rPr>
                      <w:sz w:val="21"/>
                      <w:szCs w:val="21"/>
                    </w:rPr>
                  </w:pPr>
                  <w:r>
                    <w:rPr>
                      <w:rFonts w:hint="eastAsia"/>
                      <w:sz w:val="21"/>
                      <w:szCs w:val="21"/>
                    </w:rPr>
                    <w:t>3</w:t>
                  </w:r>
                  <w:r>
                    <w:rPr>
                      <w:sz w:val="21"/>
                      <w:szCs w:val="21"/>
                    </w:rPr>
                    <w:t>5</w:t>
                  </w:r>
                </w:p>
              </w:tc>
              <w:tc>
                <w:tcPr>
                  <w:tcW w:w="641" w:type="pct"/>
                  <w:vAlign w:val="center"/>
                </w:tcPr>
                <w:p>
                  <w:pPr>
                    <w:pStyle w:val="55"/>
                    <w:rPr>
                      <w:sz w:val="21"/>
                      <w:szCs w:val="21"/>
                    </w:rPr>
                  </w:pPr>
                  <w:r>
                    <w:rPr>
                      <w:rFonts w:hint="eastAsia"/>
                      <w:sz w:val="21"/>
                      <w:szCs w:val="21"/>
                    </w:rPr>
                    <w:t>86.3%</w:t>
                  </w:r>
                </w:p>
              </w:tc>
              <w:tc>
                <w:tcPr>
                  <w:tcW w:w="566" w:type="pct"/>
                  <w:vAlign w:val="center"/>
                </w:tcPr>
                <w:p>
                  <w:pPr>
                    <w:widowControl/>
                    <w:spacing w:line="240" w:lineRule="auto"/>
                    <w:jc w:val="center"/>
                    <w:rPr>
                      <w:rFonts w:eastAsia="宋体"/>
                      <w:kern w:val="0"/>
                      <w:sz w:val="21"/>
                      <w:szCs w:val="21"/>
                    </w:rPr>
                  </w:pPr>
                  <w:r>
                    <w:rPr>
                      <w:rFonts w:eastAsia="宋体"/>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pct"/>
                  <w:vAlign w:val="center"/>
                </w:tcPr>
                <w:p>
                  <w:pPr>
                    <w:widowControl/>
                    <w:spacing w:line="240" w:lineRule="auto"/>
                    <w:jc w:val="center"/>
                    <w:rPr>
                      <w:rFonts w:eastAsia="宋体"/>
                      <w:kern w:val="0"/>
                      <w:sz w:val="21"/>
                      <w:szCs w:val="21"/>
                    </w:rPr>
                  </w:pPr>
                  <w:r>
                    <w:rPr>
                      <w:rFonts w:eastAsia="宋体"/>
                      <w:kern w:val="0"/>
                      <w:sz w:val="21"/>
                      <w:szCs w:val="21"/>
                    </w:rPr>
                    <w:t>PM</w:t>
                  </w:r>
                  <w:r>
                    <w:rPr>
                      <w:rFonts w:eastAsia="宋体"/>
                      <w:kern w:val="0"/>
                      <w:sz w:val="21"/>
                      <w:szCs w:val="21"/>
                      <w:vertAlign w:val="subscript"/>
                    </w:rPr>
                    <w:t>10</w:t>
                  </w:r>
                </w:p>
              </w:tc>
              <w:tc>
                <w:tcPr>
                  <w:tcW w:w="1604" w:type="pct"/>
                  <w:vAlign w:val="center"/>
                </w:tcPr>
                <w:p>
                  <w:pPr>
                    <w:widowControl/>
                    <w:spacing w:line="240" w:lineRule="auto"/>
                    <w:jc w:val="center"/>
                    <w:rPr>
                      <w:rFonts w:eastAsia="宋体"/>
                      <w:kern w:val="0"/>
                      <w:sz w:val="21"/>
                      <w:szCs w:val="21"/>
                    </w:rPr>
                  </w:pPr>
                  <w:r>
                    <w:rPr>
                      <w:rFonts w:eastAsia="宋体"/>
                      <w:kern w:val="0"/>
                      <w:sz w:val="21"/>
                      <w:szCs w:val="21"/>
                    </w:rPr>
                    <w:t>年平均质量浓度</w:t>
                  </w:r>
                </w:p>
              </w:tc>
              <w:tc>
                <w:tcPr>
                  <w:tcW w:w="755" w:type="pct"/>
                  <w:vAlign w:val="center"/>
                </w:tcPr>
                <w:p>
                  <w:pPr>
                    <w:pStyle w:val="55"/>
                    <w:rPr>
                      <w:sz w:val="21"/>
                      <w:szCs w:val="21"/>
                    </w:rPr>
                  </w:pPr>
                  <w:r>
                    <w:rPr>
                      <w:rFonts w:hint="eastAsia"/>
                      <w:sz w:val="21"/>
                      <w:szCs w:val="21"/>
                    </w:rPr>
                    <w:t>61.6</w:t>
                  </w:r>
                </w:p>
              </w:tc>
              <w:tc>
                <w:tcPr>
                  <w:tcW w:w="755" w:type="pct"/>
                  <w:vAlign w:val="center"/>
                </w:tcPr>
                <w:p>
                  <w:pPr>
                    <w:pStyle w:val="55"/>
                    <w:rPr>
                      <w:sz w:val="21"/>
                      <w:szCs w:val="21"/>
                    </w:rPr>
                  </w:pPr>
                  <w:r>
                    <w:rPr>
                      <w:rFonts w:hint="eastAsia"/>
                      <w:sz w:val="21"/>
                      <w:szCs w:val="21"/>
                    </w:rPr>
                    <w:t>7</w:t>
                  </w:r>
                  <w:r>
                    <w:rPr>
                      <w:sz w:val="21"/>
                      <w:szCs w:val="21"/>
                    </w:rPr>
                    <w:t>0</w:t>
                  </w:r>
                </w:p>
              </w:tc>
              <w:tc>
                <w:tcPr>
                  <w:tcW w:w="641" w:type="pct"/>
                  <w:vAlign w:val="center"/>
                </w:tcPr>
                <w:p>
                  <w:pPr>
                    <w:pStyle w:val="55"/>
                    <w:rPr>
                      <w:sz w:val="21"/>
                      <w:szCs w:val="21"/>
                    </w:rPr>
                  </w:pPr>
                  <w:r>
                    <w:rPr>
                      <w:rFonts w:hint="eastAsia"/>
                      <w:sz w:val="21"/>
                      <w:szCs w:val="21"/>
                    </w:rPr>
                    <w:t>88.0%</w:t>
                  </w:r>
                </w:p>
              </w:tc>
              <w:tc>
                <w:tcPr>
                  <w:tcW w:w="566" w:type="pct"/>
                  <w:vAlign w:val="center"/>
                </w:tcPr>
                <w:p>
                  <w:pPr>
                    <w:widowControl/>
                    <w:spacing w:line="240" w:lineRule="auto"/>
                    <w:jc w:val="center"/>
                    <w:rPr>
                      <w:rFonts w:eastAsia="宋体"/>
                      <w:kern w:val="0"/>
                      <w:sz w:val="21"/>
                      <w:szCs w:val="21"/>
                    </w:rPr>
                  </w:pPr>
                  <w:r>
                    <w:rPr>
                      <w:rFonts w:eastAsia="宋体"/>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pct"/>
                  <w:vAlign w:val="center"/>
                </w:tcPr>
                <w:p>
                  <w:pPr>
                    <w:widowControl/>
                    <w:spacing w:line="240" w:lineRule="auto"/>
                    <w:jc w:val="center"/>
                    <w:rPr>
                      <w:rFonts w:eastAsia="宋体"/>
                      <w:kern w:val="0"/>
                      <w:sz w:val="21"/>
                      <w:szCs w:val="21"/>
                    </w:rPr>
                  </w:pPr>
                  <w:r>
                    <w:rPr>
                      <w:rFonts w:eastAsia="宋体"/>
                      <w:kern w:val="0"/>
                      <w:sz w:val="21"/>
                      <w:szCs w:val="21"/>
                    </w:rPr>
                    <w:t>O</w:t>
                  </w:r>
                  <w:r>
                    <w:rPr>
                      <w:rFonts w:eastAsia="宋体"/>
                      <w:kern w:val="0"/>
                      <w:sz w:val="21"/>
                      <w:szCs w:val="21"/>
                      <w:vertAlign w:val="subscript"/>
                    </w:rPr>
                    <w:t>3</w:t>
                  </w:r>
                </w:p>
              </w:tc>
              <w:tc>
                <w:tcPr>
                  <w:tcW w:w="1604" w:type="pct"/>
                  <w:vAlign w:val="center"/>
                </w:tcPr>
                <w:p>
                  <w:pPr>
                    <w:spacing w:line="240" w:lineRule="auto"/>
                    <w:jc w:val="center"/>
                    <w:rPr>
                      <w:rFonts w:eastAsia="宋体"/>
                      <w:kern w:val="0"/>
                      <w:sz w:val="21"/>
                      <w:szCs w:val="21"/>
                    </w:rPr>
                  </w:pPr>
                  <w:r>
                    <w:rPr>
                      <w:rFonts w:eastAsia="宋体"/>
                      <w:kern w:val="0"/>
                      <w:sz w:val="21"/>
                      <w:szCs w:val="21"/>
                    </w:rPr>
                    <w:t>第90百分位数8h平均质量浓度</w:t>
                  </w:r>
                </w:p>
              </w:tc>
              <w:tc>
                <w:tcPr>
                  <w:tcW w:w="755" w:type="pct"/>
                  <w:vAlign w:val="center"/>
                </w:tcPr>
                <w:p>
                  <w:pPr>
                    <w:pStyle w:val="55"/>
                    <w:rPr>
                      <w:sz w:val="21"/>
                      <w:szCs w:val="21"/>
                    </w:rPr>
                  </w:pPr>
                  <w:r>
                    <w:rPr>
                      <w:rFonts w:hint="eastAsia"/>
                      <w:sz w:val="21"/>
                      <w:szCs w:val="21"/>
                    </w:rPr>
                    <w:t>170</w:t>
                  </w:r>
                </w:p>
              </w:tc>
              <w:tc>
                <w:tcPr>
                  <w:tcW w:w="755" w:type="pct"/>
                  <w:vAlign w:val="center"/>
                </w:tcPr>
                <w:p>
                  <w:pPr>
                    <w:pStyle w:val="55"/>
                    <w:rPr>
                      <w:sz w:val="21"/>
                      <w:szCs w:val="21"/>
                    </w:rPr>
                  </w:pPr>
                  <w:r>
                    <w:rPr>
                      <w:rFonts w:hint="eastAsia"/>
                      <w:sz w:val="21"/>
                      <w:szCs w:val="21"/>
                    </w:rPr>
                    <w:t>1</w:t>
                  </w:r>
                  <w:r>
                    <w:rPr>
                      <w:sz w:val="21"/>
                      <w:szCs w:val="21"/>
                    </w:rPr>
                    <w:t>60</w:t>
                  </w:r>
                </w:p>
              </w:tc>
              <w:tc>
                <w:tcPr>
                  <w:tcW w:w="641" w:type="pct"/>
                  <w:vAlign w:val="center"/>
                </w:tcPr>
                <w:p>
                  <w:pPr>
                    <w:pStyle w:val="55"/>
                    <w:rPr>
                      <w:sz w:val="21"/>
                      <w:szCs w:val="21"/>
                    </w:rPr>
                  </w:pPr>
                  <w:r>
                    <w:rPr>
                      <w:rFonts w:hint="eastAsia"/>
                      <w:sz w:val="21"/>
                      <w:szCs w:val="21"/>
                    </w:rPr>
                    <w:t>106.3%</w:t>
                  </w:r>
                </w:p>
              </w:tc>
              <w:tc>
                <w:tcPr>
                  <w:tcW w:w="566" w:type="pct"/>
                  <w:vAlign w:val="center"/>
                </w:tcPr>
                <w:p>
                  <w:pPr>
                    <w:spacing w:line="240" w:lineRule="auto"/>
                    <w:jc w:val="center"/>
                    <w:rPr>
                      <w:rFonts w:eastAsia="宋体"/>
                      <w:kern w:val="0"/>
                      <w:sz w:val="21"/>
                      <w:szCs w:val="21"/>
                    </w:rPr>
                  </w:pPr>
                  <w:r>
                    <w:rPr>
                      <w:rFonts w:hint="eastAsia" w:eastAsia="宋体"/>
                      <w:kern w:val="0"/>
                      <w:sz w:val="21"/>
                      <w:szCs w:val="21"/>
                    </w:rPr>
                    <w:t>不</w:t>
                  </w:r>
                  <w:r>
                    <w:rPr>
                      <w:rFonts w:eastAsia="宋体"/>
                      <w:kern w:val="0"/>
                      <w:sz w:val="21"/>
                      <w:szCs w:val="21"/>
                    </w:rPr>
                    <w:t>达标</w:t>
                  </w:r>
                </w:p>
              </w:tc>
            </w:tr>
          </w:tbl>
          <w:p>
            <w:pPr>
              <w:ind w:firstLine="480" w:firstLineChars="200"/>
              <w:rPr>
                <w:rFonts w:eastAsia="宋体"/>
              </w:rPr>
            </w:pPr>
            <w:r>
              <w:rPr>
                <w:rFonts w:hint="eastAsia" w:eastAsia="宋体"/>
              </w:rPr>
              <w:t>2022年，临平城区环境空气有效监测天数358天，优良天数275天，优良率为76.8%，同比下降5.5个百分点，首要污染物依次为臭氧（O</w:t>
            </w:r>
            <w:r>
              <w:rPr>
                <w:rFonts w:hint="eastAsia" w:eastAsia="宋体"/>
                <w:vertAlign w:val="subscript"/>
              </w:rPr>
              <w:t>3</w:t>
            </w:r>
            <w:r>
              <w:rPr>
                <w:rFonts w:hint="eastAsia" w:eastAsia="宋体"/>
              </w:rPr>
              <w:t>）、可吸入颗粒物（PM</w:t>
            </w:r>
            <w:r>
              <w:rPr>
                <w:rFonts w:hint="eastAsia" w:eastAsia="宋体"/>
                <w:vertAlign w:val="subscript"/>
              </w:rPr>
              <w:t>10</w:t>
            </w:r>
            <w:r>
              <w:rPr>
                <w:rFonts w:hint="eastAsia" w:eastAsia="宋体"/>
              </w:rPr>
              <w:t>）和细颗粒物（PM</w:t>
            </w:r>
            <w:r>
              <w:rPr>
                <w:rFonts w:hint="eastAsia" w:eastAsia="宋体"/>
                <w:vertAlign w:val="subscript"/>
              </w:rPr>
              <w:t>2.5</w:t>
            </w:r>
            <w:r>
              <w:rPr>
                <w:rFonts w:hint="eastAsia" w:eastAsia="宋体"/>
              </w:rPr>
              <w:t>）。细颗粒物（PM</w:t>
            </w:r>
            <w:r>
              <w:rPr>
                <w:rFonts w:hint="eastAsia" w:eastAsia="宋体"/>
                <w:vertAlign w:val="subscript"/>
              </w:rPr>
              <w:t>2.5</w:t>
            </w:r>
            <w:r>
              <w:rPr>
                <w:rFonts w:hint="eastAsia" w:eastAsia="宋体"/>
              </w:rPr>
              <w:t>）年平均浓度为30.2μg/m³，同比上升11.0%；可吸入颗粒物（PM</w:t>
            </w:r>
            <w:r>
              <w:rPr>
                <w:rFonts w:hint="eastAsia" w:eastAsia="宋体"/>
                <w:vertAlign w:val="subscript"/>
              </w:rPr>
              <w:t>10</w:t>
            </w:r>
            <w:r>
              <w:rPr>
                <w:rFonts w:hint="eastAsia" w:eastAsia="宋体"/>
              </w:rPr>
              <w:t>）年平均浓度为61.6μg/m³，同比下降13.1%，根据《2022年度杭州市生态环境状况公报》，杭州市区臭氧（O</w:t>
            </w:r>
            <w:r>
              <w:rPr>
                <w:rFonts w:hint="eastAsia" w:eastAsia="宋体"/>
                <w:vertAlign w:val="subscript"/>
              </w:rPr>
              <w:t>3</w:t>
            </w:r>
            <w:r>
              <w:rPr>
                <w:rFonts w:hint="eastAsia" w:eastAsia="宋体"/>
              </w:rPr>
              <w:t>）日最大8小时平均浓度为第90百分位数170微克/立方米，超过国家二级标准。综上所述，项目所在区域大气环境质量为不达标区，超标因子主要为臭氧，本项目不涉及臭氧排放，项目实施不会对区域达标规划产生不利影响。</w:t>
            </w:r>
          </w:p>
          <w:p>
            <w:pPr>
              <w:adjustRightInd w:val="0"/>
              <w:snapToGrid w:val="0"/>
              <w:spacing w:line="440" w:lineRule="exact"/>
              <w:ind w:firstLine="480" w:firstLineChars="200"/>
              <w:rPr>
                <w:rFonts w:hAnsi="宋体" w:eastAsia="宋体"/>
                <w:kern w:val="0"/>
              </w:rPr>
            </w:pPr>
            <w:r>
              <w:rPr>
                <w:rFonts w:hint="eastAsia" w:hAnsi="宋体" w:eastAsia="宋体"/>
                <w:kern w:val="0"/>
              </w:rPr>
              <w:t>（2）大气污染防治工作</w:t>
            </w:r>
          </w:p>
          <w:p>
            <w:pPr>
              <w:adjustRightInd w:val="0"/>
              <w:snapToGrid w:val="0"/>
              <w:spacing w:line="440" w:lineRule="exact"/>
              <w:ind w:firstLine="480" w:firstLineChars="200"/>
              <w:rPr>
                <w:rFonts w:eastAsia="宋体"/>
                <w:kern w:val="0"/>
              </w:rPr>
            </w:pPr>
            <w:r>
              <w:rPr>
                <w:rFonts w:hint="eastAsia" w:hAnsi="宋体" w:eastAsia="宋体"/>
                <w:kern w:val="0"/>
              </w:rPr>
              <w:t>巩固全域无燃煤（煤制品）锅（窑）炉城区成果，大力推进清洁能源使用。引导推动“贝达药业一新奥能源”模式，启动全市首个企业间有机废气协同治理试点项目，助力减污降碳协同增效。强化扬尘防控巡查和长效管理，着力遏制扬尘污染，印发《杭州市临平区PM</w:t>
            </w:r>
            <w:r>
              <w:rPr>
                <w:rFonts w:hint="eastAsia" w:hAnsi="宋体" w:eastAsia="宋体"/>
                <w:kern w:val="0"/>
                <w:vertAlign w:val="subscript"/>
              </w:rPr>
              <w:t>10</w:t>
            </w:r>
            <w:r>
              <w:rPr>
                <w:rFonts w:hint="eastAsia" w:hAnsi="宋体" w:eastAsia="宋体"/>
                <w:kern w:val="0"/>
              </w:rPr>
              <w:t>专项治理方案》、《2022年临平区扬尘污染防治攻坚行动方案》等一系列文件通知。组织实施临平区PM</w:t>
            </w:r>
            <w:r>
              <w:rPr>
                <w:rFonts w:hint="eastAsia" w:hAnsi="宋体" w:eastAsia="宋体"/>
                <w:kern w:val="0"/>
                <w:vertAlign w:val="subscript"/>
              </w:rPr>
              <w:t>10</w:t>
            </w:r>
            <w:r>
              <w:rPr>
                <w:rFonts w:hint="eastAsia" w:hAnsi="宋体" w:eastAsia="宋体"/>
                <w:kern w:val="0"/>
              </w:rPr>
              <w:t>专项治理行动，围绕国控点和乡镇空气站点两个重点，建立“日常巡查、每周督查、每月回头看”工作机制，实现PM</w:t>
            </w:r>
            <w:r>
              <w:rPr>
                <w:rFonts w:hint="eastAsia" w:hAnsi="宋体" w:eastAsia="宋体"/>
                <w:kern w:val="0"/>
                <w:vertAlign w:val="subscript"/>
              </w:rPr>
              <w:t>10</w:t>
            </w:r>
            <w:r>
              <w:rPr>
                <w:rFonts w:hint="eastAsia" w:hAnsi="宋体" w:eastAsia="宋体"/>
                <w:kern w:val="0"/>
              </w:rPr>
              <w:t>浓度同比下降。开展机动车维修行业、VOC</w:t>
            </w:r>
            <w:r>
              <w:rPr>
                <w:rFonts w:hint="eastAsia" w:hAnsi="宋体" w:eastAsia="宋体"/>
                <w:kern w:val="0"/>
                <w:vertAlign w:val="subscript"/>
              </w:rPr>
              <w:t>S</w:t>
            </w:r>
            <w:r>
              <w:rPr>
                <w:rFonts w:hint="eastAsia" w:hAnsi="宋体" w:eastAsia="宋体"/>
                <w:kern w:val="0"/>
              </w:rPr>
              <w:t>行业企业、混凝土搅拌行业、建筑（装修）垃圾破碎行业、非道路移动机械、国控点周边道路运行保障“六大专项”攻坚行动。划定禁止使用高排放非道路移动机械区域，加强区内非道路移动机械申报管理。同时，全面推进非道路移动机械治理。落实机动车检测与维护（I/M）制度。加强餐饮油烟治理，缓解油烟扰民问题，并开展餐饮油烟在线监控安装工作。结合社会治理大联动网格化管理，督促镇街落实禁止露天焚烧长效管理，</w:t>
            </w:r>
            <w:r>
              <w:rPr>
                <w:rFonts w:hint="eastAsia" w:ascii="宋体" w:hAnsi="宋体" w:eastAsia="宋体" w:cs="宋体"/>
              </w:rPr>
              <w:t>使环境空气质量趋于改善</w:t>
            </w:r>
            <w:r>
              <w:rPr>
                <w:rFonts w:hint="eastAsia" w:hAnsi="宋体" w:eastAsia="宋体"/>
                <w:kern w:val="0"/>
              </w:rPr>
              <w:t>。</w:t>
            </w:r>
          </w:p>
          <w:p>
            <w:pPr>
              <w:adjustRightInd w:val="0"/>
              <w:snapToGrid w:val="0"/>
              <w:spacing w:line="440" w:lineRule="exact"/>
              <w:rPr>
                <w:b/>
                <w:kern w:val="0"/>
              </w:rPr>
            </w:pPr>
            <w:r>
              <w:rPr>
                <w:rFonts w:hint="eastAsia" w:eastAsia="宋体"/>
                <w:b/>
                <w:kern w:val="0"/>
              </w:rPr>
              <w:t>2、地表水环境</w:t>
            </w:r>
          </w:p>
          <w:p>
            <w:pPr>
              <w:adjustRightInd w:val="0"/>
              <w:snapToGrid w:val="0"/>
              <w:spacing w:line="440" w:lineRule="exact"/>
              <w:ind w:firstLine="480" w:firstLineChars="200"/>
              <w:rPr>
                <w:rFonts w:eastAsia="宋体"/>
                <w:kern w:val="0"/>
              </w:rPr>
            </w:pPr>
            <w:r>
              <w:rPr>
                <w:rFonts w:hint="eastAsia" w:eastAsia="宋体"/>
                <w:kern w:val="0"/>
              </w:rPr>
              <w:t>项目附近主要地表水水体为乔司港及其支流，乔司港及其支流水体环绕本项目四周，与本项目最近约</w:t>
            </w:r>
            <w:r>
              <w:rPr>
                <w:rFonts w:eastAsia="宋体"/>
                <w:kern w:val="0"/>
              </w:rPr>
              <w:t>365m</w:t>
            </w:r>
            <w:r>
              <w:rPr>
                <w:rFonts w:hint="eastAsia" w:eastAsia="宋体"/>
                <w:kern w:val="0"/>
              </w:rPr>
              <w:t>。根据《浙江省水功能区水环境功能区划分方案》（2015.6）和《杭州市人民政府关于杭州市主城区水功能区、水环境功能区划分方案的批复》（杭政函[2012]155号），本项目所在区域水体属于杭嘉湖33，水环境为乔司港余杭农业用水区，其目标水质为</w:t>
            </w:r>
            <w:r>
              <w:rPr>
                <w:rFonts w:eastAsia="宋体"/>
                <w:kern w:val="0"/>
              </w:rPr>
              <w:fldChar w:fldCharType="begin"/>
            </w:r>
            <w:r>
              <w:rPr>
                <w:rFonts w:eastAsia="宋体"/>
                <w:kern w:val="0"/>
              </w:rPr>
              <w:instrText xml:space="preserve"> </w:instrText>
            </w:r>
            <w:r>
              <w:rPr>
                <w:rFonts w:hint="eastAsia" w:eastAsia="宋体"/>
                <w:kern w:val="0"/>
              </w:rPr>
              <w:instrText xml:space="preserve">= 3 \* ROMAN</w:instrText>
            </w:r>
            <w:r>
              <w:rPr>
                <w:rFonts w:eastAsia="宋体"/>
                <w:kern w:val="0"/>
              </w:rPr>
              <w:instrText xml:space="preserve"> </w:instrText>
            </w:r>
            <w:r>
              <w:rPr>
                <w:rFonts w:eastAsia="宋体"/>
                <w:kern w:val="0"/>
              </w:rPr>
              <w:fldChar w:fldCharType="separate"/>
            </w:r>
            <w:r>
              <w:rPr>
                <w:rFonts w:eastAsia="宋体"/>
                <w:kern w:val="0"/>
              </w:rPr>
              <w:t>III</w:t>
            </w:r>
            <w:r>
              <w:rPr>
                <w:rFonts w:eastAsia="宋体"/>
                <w:kern w:val="0"/>
              </w:rPr>
              <w:fldChar w:fldCharType="end"/>
            </w:r>
            <w:r>
              <w:rPr>
                <w:rFonts w:hint="eastAsia" w:eastAsia="宋体"/>
                <w:kern w:val="0"/>
              </w:rPr>
              <w:t>类，因此水质执行《地表水环境质量标准》（GB3838-2002）中的</w:t>
            </w:r>
            <w:r>
              <w:rPr>
                <w:rFonts w:eastAsia="宋体"/>
                <w:kern w:val="0"/>
              </w:rPr>
              <w:fldChar w:fldCharType="begin"/>
            </w:r>
            <w:r>
              <w:rPr>
                <w:rFonts w:eastAsia="宋体"/>
                <w:kern w:val="0"/>
              </w:rPr>
              <w:instrText xml:space="preserve"> </w:instrText>
            </w:r>
            <w:r>
              <w:rPr>
                <w:rFonts w:hint="eastAsia" w:eastAsia="宋体"/>
                <w:kern w:val="0"/>
              </w:rPr>
              <w:instrText xml:space="preserve">= 3 \* ROMAN</w:instrText>
            </w:r>
            <w:r>
              <w:rPr>
                <w:rFonts w:eastAsia="宋体"/>
                <w:kern w:val="0"/>
              </w:rPr>
              <w:instrText xml:space="preserve"> </w:instrText>
            </w:r>
            <w:r>
              <w:rPr>
                <w:rFonts w:eastAsia="宋体"/>
                <w:kern w:val="0"/>
              </w:rPr>
              <w:fldChar w:fldCharType="separate"/>
            </w:r>
            <w:r>
              <w:rPr>
                <w:rFonts w:eastAsia="宋体"/>
                <w:kern w:val="0"/>
              </w:rPr>
              <w:t>III</w:t>
            </w:r>
            <w:r>
              <w:rPr>
                <w:rFonts w:eastAsia="宋体"/>
                <w:kern w:val="0"/>
              </w:rPr>
              <w:fldChar w:fldCharType="end"/>
            </w:r>
            <w:r>
              <w:rPr>
                <w:rFonts w:hint="eastAsia" w:eastAsia="宋体"/>
                <w:kern w:val="0"/>
              </w:rPr>
              <w:t>类标准。为了解项目所在区域地表水环境质量现状，本评价引用智慧河道云平台查阅到的2023年2月-4月对乔司港（南苑街道段）断面的水质监测结果，具体监测数据见下表。</w:t>
            </w:r>
          </w:p>
          <w:p>
            <w:pPr>
              <w:adjustRightInd w:val="0"/>
              <w:snapToGrid w:val="0"/>
              <w:spacing w:line="440" w:lineRule="exact"/>
              <w:jc w:val="center"/>
              <w:rPr>
                <w:rFonts w:hAnsi="宋体" w:eastAsia="宋体"/>
                <w:b/>
                <w:kern w:val="0"/>
                <w:sz w:val="21"/>
                <w:szCs w:val="21"/>
              </w:rPr>
            </w:pPr>
            <w:r>
              <w:rPr>
                <w:rFonts w:hint="eastAsia" w:hAnsi="宋体" w:eastAsia="宋体"/>
                <w:b/>
                <w:kern w:val="0"/>
                <w:sz w:val="21"/>
                <w:szCs w:val="21"/>
              </w:rPr>
              <w:t>表3-</w:t>
            </w:r>
            <w:r>
              <w:rPr>
                <w:rFonts w:hAnsi="宋体" w:eastAsia="宋体"/>
                <w:b/>
                <w:kern w:val="0"/>
                <w:sz w:val="21"/>
                <w:szCs w:val="21"/>
              </w:rPr>
              <w:t>2</w:t>
            </w:r>
            <w:r>
              <w:rPr>
                <w:rFonts w:hint="eastAsia" w:hAnsi="宋体" w:eastAsia="宋体"/>
                <w:b/>
                <w:kern w:val="0"/>
                <w:sz w:val="21"/>
                <w:szCs w:val="21"/>
              </w:rPr>
              <w:t xml:space="preserve"> 地表水监测数据 单位：mg/L（pH除外）</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1055"/>
              <w:gridCol w:w="1250"/>
              <w:gridCol w:w="1251"/>
              <w:gridCol w:w="1251"/>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vAlign w:val="center"/>
                </w:tcPr>
                <w:p>
                  <w:pPr>
                    <w:pStyle w:val="16"/>
                    <w:spacing w:line="240" w:lineRule="auto"/>
                    <w:jc w:val="center"/>
                    <w:rPr>
                      <w:rFonts w:ascii="Times New Roman" w:hAnsi="Times New Roman" w:eastAsia="宋体" w:cs="Times New Roman"/>
                      <w:sz w:val="21"/>
                      <w:szCs w:val="21"/>
                    </w:rPr>
                  </w:pPr>
                  <w:r>
                    <w:rPr>
                      <w:rFonts w:ascii="Times New Roman" w:hAnsi="宋体" w:eastAsia="宋体" w:cs="Times New Roman"/>
                      <w:sz w:val="21"/>
                      <w:szCs w:val="21"/>
                    </w:rPr>
                    <w:t>项目</w:t>
                  </w:r>
                </w:p>
              </w:tc>
              <w:tc>
                <w:tcPr>
                  <w:tcW w:w="1055"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pH</w:t>
                  </w:r>
                </w:p>
              </w:tc>
              <w:tc>
                <w:tcPr>
                  <w:tcW w:w="1250"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DO</w:t>
                  </w:r>
                </w:p>
              </w:tc>
              <w:tc>
                <w:tcPr>
                  <w:tcW w:w="1251"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CODMn</w:t>
                  </w:r>
                </w:p>
              </w:tc>
              <w:tc>
                <w:tcPr>
                  <w:tcW w:w="1251"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TP</w:t>
                  </w:r>
                </w:p>
              </w:tc>
              <w:tc>
                <w:tcPr>
                  <w:tcW w:w="1251"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NH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2023.2</w:t>
                  </w:r>
                </w:p>
              </w:tc>
              <w:tc>
                <w:tcPr>
                  <w:tcW w:w="1055"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7.6</w:t>
                  </w:r>
                </w:p>
              </w:tc>
              <w:tc>
                <w:tcPr>
                  <w:tcW w:w="1250"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8.55</w:t>
                  </w:r>
                </w:p>
              </w:tc>
              <w:tc>
                <w:tcPr>
                  <w:tcW w:w="1251"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5.1</w:t>
                  </w:r>
                </w:p>
              </w:tc>
              <w:tc>
                <w:tcPr>
                  <w:tcW w:w="1251"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0.134</w:t>
                  </w:r>
                </w:p>
              </w:tc>
              <w:tc>
                <w:tcPr>
                  <w:tcW w:w="1251"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Times New Roman" w:hAnsi="Times New Roman" w:eastAsia="宋体" w:cs="Times New Roman"/>
                      <w:sz w:val="21"/>
                      <w:szCs w:val="21"/>
                      <w:lang w:val="en-US" w:eastAsia="zh-CN"/>
                    </w:rPr>
                    <w:t>0</w:t>
                  </w:r>
                  <w:r>
                    <w:rPr>
                      <w:rFonts w:ascii="Times New Roman" w:hAnsi="Times New Roman" w:eastAsia="宋体" w:cs="Times New Roman"/>
                      <w:sz w:val="21"/>
                      <w:szCs w:val="21"/>
                    </w:rPr>
                    <w:t>23.3</w:t>
                  </w:r>
                </w:p>
              </w:tc>
              <w:tc>
                <w:tcPr>
                  <w:tcW w:w="1055"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7.6</w:t>
                  </w:r>
                </w:p>
              </w:tc>
              <w:tc>
                <w:tcPr>
                  <w:tcW w:w="1250"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7.43</w:t>
                  </w:r>
                </w:p>
              </w:tc>
              <w:tc>
                <w:tcPr>
                  <w:tcW w:w="1251"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2.3</w:t>
                  </w:r>
                </w:p>
              </w:tc>
              <w:tc>
                <w:tcPr>
                  <w:tcW w:w="1251"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0.088</w:t>
                  </w:r>
                </w:p>
              </w:tc>
              <w:tc>
                <w:tcPr>
                  <w:tcW w:w="1251"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2023.4</w:t>
                  </w:r>
                </w:p>
              </w:tc>
              <w:tc>
                <w:tcPr>
                  <w:tcW w:w="1055"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7.5</w:t>
                  </w:r>
                </w:p>
              </w:tc>
              <w:tc>
                <w:tcPr>
                  <w:tcW w:w="1250"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7.44</w:t>
                  </w:r>
                </w:p>
              </w:tc>
              <w:tc>
                <w:tcPr>
                  <w:tcW w:w="1251"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4.6</w:t>
                  </w:r>
                </w:p>
              </w:tc>
              <w:tc>
                <w:tcPr>
                  <w:tcW w:w="1251"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0.179</w:t>
                  </w:r>
                </w:p>
              </w:tc>
              <w:tc>
                <w:tcPr>
                  <w:tcW w:w="1251"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kern w:val="0"/>
                      <w:sz w:val="21"/>
                      <w:szCs w:val="21"/>
                    </w:rPr>
                    <w:fldChar w:fldCharType="begin"/>
                  </w:r>
                  <w:r>
                    <w:rPr>
                      <w:rFonts w:ascii="Times New Roman" w:hAnsi="Times New Roman" w:eastAsia="宋体" w:cs="Times New Roman"/>
                      <w:kern w:val="0"/>
                      <w:sz w:val="21"/>
                      <w:szCs w:val="21"/>
                    </w:rPr>
                    <w:instrText xml:space="preserve"> = 3 \* ROMAN </w:instrText>
                  </w:r>
                  <w:r>
                    <w:rPr>
                      <w:rFonts w:ascii="Times New Roman" w:hAnsi="Times New Roman" w:eastAsia="宋体" w:cs="Times New Roman"/>
                      <w:kern w:val="0"/>
                      <w:sz w:val="21"/>
                      <w:szCs w:val="21"/>
                    </w:rPr>
                    <w:fldChar w:fldCharType="separate"/>
                  </w:r>
                  <w:r>
                    <w:rPr>
                      <w:rFonts w:ascii="Times New Roman" w:hAnsi="Times New Roman" w:eastAsia="宋体" w:cs="Times New Roman"/>
                      <w:kern w:val="0"/>
                      <w:sz w:val="21"/>
                      <w:szCs w:val="21"/>
                    </w:rPr>
                    <w:t>III</w:t>
                  </w:r>
                  <w:r>
                    <w:rPr>
                      <w:rFonts w:ascii="Times New Roman" w:hAnsi="Times New Roman" w:eastAsia="宋体" w:cs="Times New Roman"/>
                      <w:kern w:val="0"/>
                      <w:sz w:val="21"/>
                      <w:szCs w:val="21"/>
                    </w:rPr>
                    <w:fldChar w:fldCharType="end"/>
                  </w:r>
                  <w:r>
                    <w:rPr>
                      <w:rFonts w:ascii="Times New Roman" w:hAnsi="宋体" w:eastAsia="宋体" w:cs="Times New Roman"/>
                      <w:kern w:val="0"/>
                      <w:sz w:val="21"/>
                      <w:szCs w:val="21"/>
                    </w:rPr>
                    <w:t>类标准值</w:t>
                  </w:r>
                </w:p>
              </w:tc>
              <w:tc>
                <w:tcPr>
                  <w:tcW w:w="1055"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6~9</w:t>
                  </w:r>
                </w:p>
              </w:tc>
              <w:tc>
                <w:tcPr>
                  <w:tcW w:w="1250"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1251"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1251"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≤0.2</w:t>
                  </w:r>
                </w:p>
              </w:tc>
              <w:tc>
                <w:tcPr>
                  <w:tcW w:w="1251"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vAlign w:val="center"/>
                </w:tcPr>
                <w:p>
                  <w:pPr>
                    <w:pStyle w:val="16"/>
                    <w:spacing w:line="240" w:lineRule="auto"/>
                    <w:jc w:val="center"/>
                    <w:rPr>
                      <w:rFonts w:ascii="Times New Roman" w:hAnsi="Times New Roman" w:eastAsia="宋体" w:cs="Times New Roman"/>
                      <w:sz w:val="21"/>
                      <w:szCs w:val="21"/>
                    </w:rPr>
                  </w:pPr>
                  <w:r>
                    <w:rPr>
                      <w:rFonts w:ascii="Times New Roman" w:hAnsi="宋体" w:eastAsia="宋体" w:cs="Times New Roman"/>
                      <w:sz w:val="21"/>
                      <w:szCs w:val="21"/>
                    </w:rPr>
                    <w:t>达标情况</w:t>
                  </w:r>
                </w:p>
              </w:tc>
              <w:tc>
                <w:tcPr>
                  <w:tcW w:w="1055" w:type="dxa"/>
                  <w:vAlign w:val="center"/>
                </w:tcPr>
                <w:p>
                  <w:pPr>
                    <w:pStyle w:val="16"/>
                    <w:spacing w:line="240" w:lineRule="auto"/>
                    <w:jc w:val="center"/>
                    <w:rPr>
                      <w:rFonts w:ascii="Times New Roman" w:hAnsi="Times New Roman" w:eastAsia="宋体" w:cs="Times New Roman"/>
                      <w:sz w:val="21"/>
                      <w:szCs w:val="21"/>
                    </w:rPr>
                  </w:pPr>
                  <w:r>
                    <w:rPr>
                      <w:rFonts w:ascii="Times New Roman" w:hAnsi="宋体" w:eastAsia="宋体" w:cs="Times New Roman"/>
                      <w:sz w:val="21"/>
                      <w:szCs w:val="21"/>
                    </w:rPr>
                    <w:t>达标</w:t>
                  </w:r>
                </w:p>
              </w:tc>
              <w:tc>
                <w:tcPr>
                  <w:tcW w:w="1250" w:type="dxa"/>
                  <w:vAlign w:val="center"/>
                </w:tcPr>
                <w:p>
                  <w:pPr>
                    <w:pStyle w:val="16"/>
                    <w:spacing w:line="240" w:lineRule="auto"/>
                    <w:jc w:val="center"/>
                    <w:rPr>
                      <w:rFonts w:ascii="Times New Roman" w:hAnsi="Times New Roman" w:eastAsia="宋体" w:cs="Times New Roman"/>
                      <w:sz w:val="21"/>
                      <w:szCs w:val="21"/>
                    </w:rPr>
                  </w:pPr>
                  <w:r>
                    <w:rPr>
                      <w:rFonts w:ascii="Times New Roman" w:hAnsi="宋体" w:eastAsia="宋体" w:cs="Times New Roman"/>
                      <w:sz w:val="21"/>
                      <w:szCs w:val="21"/>
                    </w:rPr>
                    <w:t>达标</w:t>
                  </w:r>
                </w:p>
              </w:tc>
              <w:tc>
                <w:tcPr>
                  <w:tcW w:w="1251" w:type="dxa"/>
                  <w:vAlign w:val="center"/>
                </w:tcPr>
                <w:p>
                  <w:pPr>
                    <w:pStyle w:val="16"/>
                    <w:spacing w:line="240" w:lineRule="auto"/>
                    <w:jc w:val="center"/>
                    <w:rPr>
                      <w:rFonts w:ascii="Times New Roman" w:hAnsi="Times New Roman" w:eastAsia="宋体" w:cs="Times New Roman"/>
                      <w:sz w:val="21"/>
                      <w:szCs w:val="21"/>
                    </w:rPr>
                  </w:pPr>
                  <w:r>
                    <w:rPr>
                      <w:rFonts w:ascii="Times New Roman" w:hAnsi="宋体" w:eastAsia="宋体" w:cs="Times New Roman"/>
                      <w:sz w:val="21"/>
                      <w:szCs w:val="21"/>
                    </w:rPr>
                    <w:t>达标</w:t>
                  </w:r>
                </w:p>
              </w:tc>
              <w:tc>
                <w:tcPr>
                  <w:tcW w:w="1251" w:type="dxa"/>
                  <w:vAlign w:val="center"/>
                </w:tcPr>
                <w:p>
                  <w:pPr>
                    <w:pStyle w:val="16"/>
                    <w:spacing w:line="240" w:lineRule="auto"/>
                    <w:jc w:val="center"/>
                    <w:rPr>
                      <w:rFonts w:ascii="Times New Roman" w:hAnsi="Times New Roman" w:eastAsia="宋体" w:cs="Times New Roman"/>
                      <w:sz w:val="21"/>
                      <w:szCs w:val="21"/>
                    </w:rPr>
                  </w:pPr>
                  <w:r>
                    <w:rPr>
                      <w:rFonts w:ascii="Times New Roman" w:hAnsi="宋体" w:eastAsia="宋体" w:cs="Times New Roman"/>
                      <w:sz w:val="21"/>
                      <w:szCs w:val="21"/>
                    </w:rPr>
                    <w:t>达标</w:t>
                  </w:r>
                </w:p>
              </w:tc>
              <w:tc>
                <w:tcPr>
                  <w:tcW w:w="1251" w:type="dxa"/>
                  <w:vAlign w:val="center"/>
                </w:tcPr>
                <w:p>
                  <w:pPr>
                    <w:pStyle w:val="16"/>
                    <w:spacing w:line="240" w:lineRule="auto"/>
                    <w:jc w:val="center"/>
                    <w:rPr>
                      <w:rFonts w:ascii="Times New Roman" w:hAnsi="Times New Roman" w:eastAsia="宋体" w:cs="Times New Roman"/>
                      <w:sz w:val="21"/>
                      <w:szCs w:val="21"/>
                    </w:rPr>
                  </w:pPr>
                  <w:r>
                    <w:rPr>
                      <w:rFonts w:ascii="Times New Roman" w:hAnsi="宋体" w:eastAsia="宋体" w:cs="Times New Roman"/>
                      <w:sz w:val="21"/>
                      <w:szCs w:val="21"/>
                    </w:rPr>
                    <w:t>达标</w:t>
                  </w:r>
                </w:p>
              </w:tc>
            </w:tr>
          </w:tbl>
          <w:p>
            <w:pPr>
              <w:adjustRightInd w:val="0"/>
              <w:snapToGrid w:val="0"/>
              <w:spacing w:line="440" w:lineRule="exact"/>
              <w:ind w:firstLine="480" w:firstLineChars="200"/>
              <w:rPr>
                <w:rFonts w:eastAsia="宋体"/>
                <w:kern w:val="0"/>
              </w:rPr>
            </w:pPr>
            <w:r>
              <w:rPr>
                <w:rFonts w:hint="eastAsia" w:eastAsia="宋体"/>
                <w:kern w:val="0"/>
              </w:rPr>
              <w:t>根据监测结果可知，乔司港（南苑街道段）断面各水质指标达到《地表水环境质量标准》（GB3838-2002）</w:t>
            </w:r>
            <w:r>
              <w:rPr>
                <w:rFonts w:eastAsia="宋体"/>
                <w:kern w:val="0"/>
              </w:rPr>
              <w:fldChar w:fldCharType="begin"/>
            </w:r>
            <w:r>
              <w:rPr>
                <w:rFonts w:eastAsia="宋体"/>
                <w:kern w:val="0"/>
              </w:rPr>
              <w:instrText xml:space="preserve"> = 3 \* ROMAN </w:instrText>
            </w:r>
            <w:r>
              <w:rPr>
                <w:rFonts w:eastAsia="宋体"/>
                <w:kern w:val="0"/>
              </w:rPr>
              <w:fldChar w:fldCharType="separate"/>
            </w:r>
            <w:r>
              <w:rPr>
                <w:rFonts w:eastAsia="宋体"/>
                <w:kern w:val="0"/>
              </w:rPr>
              <w:t>III</w:t>
            </w:r>
            <w:r>
              <w:rPr>
                <w:rFonts w:eastAsia="宋体"/>
                <w:kern w:val="0"/>
              </w:rPr>
              <w:fldChar w:fldCharType="end"/>
            </w:r>
            <w:r>
              <w:rPr>
                <w:rFonts w:hint="eastAsia" w:eastAsia="宋体"/>
                <w:kern w:val="0"/>
              </w:rPr>
              <w:t>类标准，说明该区域水质情况较好。</w:t>
            </w:r>
          </w:p>
          <w:p>
            <w:pPr>
              <w:adjustRightInd w:val="0"/>
              <w:snapToGrid w:val="0"/>
              <w:spacing w:line="440" w:lineRule="exact"/>
              <w:rPr>
                <w:rFonts w:eastAsia="宋体"/>
                <w:b/>
                <w:kern w:val="0"/>
              </w:rPr>
            </w:pPr>
            <w:r>
              <w:rPr>
                <w:rFonts w:hint="eastAsia" w:eastAsia="宋体"/>
                <w:b/>
                <w:kern w:val="0"/>
              </w:rPr>
              <w:t>3、声环境</w:t>
            </w:r>
          </w:p>
          <w:p>
            <w:pPr>
              <w:adjustRightInd w:val="0"/>
              <w:snapToGrid w:val="0"/>
              <w:spacing w:line="440" w:lineRule="exact"/>
              <w:ind w:firstLine="480" w:firstLineChars="200"/>
              <w:rPr>
                <w:rFonts w:eastAsia="宋体"/>
                <w:kern w:val="0"/>
              </w:rPr>
            </w:pPr>
            <w:r>
              <w:rPr>
                <w:rFonts w:hint="eastAsia" w:eastAsia="宋体"/>
                <w:kern w:val="0"/>
              </w:rPr>
              <w:t>根据《杭州市临平区声环境功能区划分方案》（2021~2025），该项目区域代码为201，处于2类声环境功能区，本项目场界执行《声环境质量标准》（GB3096-2008）2类标准；敏感点南苑幼儿园执行2类标准。</w:t>
            </w:r>
          </w:p>
          <w:p>
            <w:pPr>
              <w:adjustRightInd w:val="0"/>
              <w:snapToGrid w:val="0"/>
              <w:spacing w:line="440" w:lineRule="exact"/>
              <w:ind w:firstLine="480" w:firstLineChars="200"/>
              <w:rPr>
                <w:rFonts w:eastAsia="宋体"/>
                <w:kern w:val="0"/>
              </w:rPr>
            </w:pPr>
            <w:r>
              <w:rPr>
                <w:rFonts w:hint="eastAsia" w:eastAsia="宋体"/>
                <w:kern w:val="0"/>
              </w:rPr>
              <w:t>为了解项目拟建地声环境质量现状，本次环评委托杭州广测环境技术有限公司在项目拟建地场界以及敏感点南苑幼儿园设检测点，对声环境现状进行了检测，报告编号为杭广测检2023（HJ）字第23073561号。检测结果见表3-</w:t>
            </w:r>
            <w:r>
              <w:rPr>
                <w:rFonts w:eastAsia="宋体"/>
                <w:kern w:val="0"/>
              </w:rPr>
              <w:t>3</w:t>
            </w:r>
            <w:r>
              <w:rPr>
                <w:rFonts w:hint="eastAsia" w:eastAsia="宋体"/>
                <w:kern w:val="0"/>
              </w:rPr>
              <w:t>。</w:t>
            </w:r>
          </w:p>
          <w:p>
            <w:pPr>
              <w:adjustRightInd w:val="0"/>
              <w:snapToGrid w:val="0"/>
              <w:spacing w:line="440" w:lineRule="exact"/>
              <w:jc w:val="center"/>
              <w:rPr>
                <w:rFonts w:eastAsia="宋体"/>
                <w:b/>
                <w:kern w:val="0"/>
                <w:sz w:val="21"/>
                <w:szCs w:val="21"/>
              </w:rPr>
            </w:pPr>
            <w:r>
              <w:rPr>
                <w:rFonts w:hAnsi="宋体" w:eastAsia="宋体"/>
                <w:b/>
                <w:kern w:val="0"/>
                <w:sz w:val="21"/>
                <w:szCs w:val="21"/>
              </w:rPr>
              <w:t>表</w:t>
            </w:r>
            <w:r>
              <w:rPr>
                <w:rFonts w:hint="eastAsia" w:eastAsia="宋体"/>
                <w:b/>
                <w:kern w:val="0"/>
                <w:sz w:val="21"/>
                <w:szCs w:val="21"/>
              </w:rPr>
              <w:t>3-</w:t>
            </w:r>
            <w:r>
              <w:rPr>
                <w:rFonts w:eastAsia="宋体"/>
                <w:b/>
                <w:kern w:val="0"/>
                <w:sz w:val="21"/>
                <w:szCs w:val="21"/>
              </w:rPr>
              <w:t>3</w:t>
            </w:r>
            <w:r>
              <w:rPr>
                <w:rFonts w:hAnsi="宋体" w:eastAsia="宋体"/>
                <w:b/>
                <w:kern w:val="0"/>
                <w:sz w:val="21"/>
                <w:szCs w:val="21"/>
              </w:rPr>
              <w:t>周围环境</w:t>
            </w:r>
            <w:r>
              <w:rPr>
                <w:rFonts w:hint="eastAsia" w:hAnsi="宋体" w:eastAsia="宋体"/>
                <w:b/>
                <w:kern w:val="0"/>
                <w:sz w:val="21"/>
                <w:szCs w:val="21"/>
              </w:rPr>
              <w:t>声环境现状检测</w:t>
            </w:r>
            <w:r>
              <w:rPr>
                <w:rFonts w:hAnsi="宋体" w:eastAsia="宋体"/>
                <w:b/>
                <w:kern w:val="0"/>
                <w:sz w:val="21"/>
                <w:szCs w:val="21"/>
              </w:rPr>
              <w:t>结果</w:t>
            </w:r>
            <w:r>
              <w:rPr>
                <w:rFonts w:hint="eastAsia" w:hAnsi="宋体" w:eastAsia="宋体"/>
                <w:b/>
                <w:kern w:val="0"/>
                <w:sz w:val="21"/>
                <w:szCs w:val="21"/>
              </w:rPr>
              <w:t xml:space="preserve"> 单位：</w:t>
            </w:r>
            <w:r>
              <w:rPr>
                <w:rFonts w:eastAsia="宋体"/>
                <w:b/>
                <w:kern w:val="0"/>
                <w:sz w:val="21"/>
                <w:szCs w:val="21"/>
              </w:rPr>
              <w:t>dB</w:t>
            </w:r>
            <w:r>
              <w:rPr>
                <w:rFonts w:hAnsi="宋体" w:eastAsia="宋体"/>
                <w:b/>
                <w:kern w:val="0"/>
                <w:sz w:val="21"/>
                <w:szCs w:val="21"/>
              </w:rPr>
              <w:t>（</w:t>
            </w:r>
            <w:r>
              <w:rPr>
                <w:rFonts w:eastAsia="宋体"/>
                <w:b/>
                <w:kern w:val="0"/>
                <w:sz w:val="21"/>
                <w:szCs w:val="21"/>
              </w:rPr>
              <w:t>A</w:t>
            </w:r>
            <w:r>
              <w:rPr>
                <w:rFonts w:hAnsi="宋体" w:eastAsia="宋体"/>
                <w:b/>
                <w:kern w:val="0"/>
                <w:sz w:val="21"/>
                <w:szCs w:val="21"/>
              </w:rPr>
              <w:t>）</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1752"/>
              <w:gridCol w:w="1933"/>
              <w:gridCol w:w="1122"/>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pct"/>
                  <w:vAlign w:val="center"/>
                </w:tcPr>
                <w:p>
                  <w:pPr>
                    <w:adjustRightInd w:val="0"/>
                    <w:snapToGrid w:val="0"/>
                    <w:spacing w:line="240" w:lineRule="auto"/>
                    <w:jc w:val="center"/>
                    <w:rPr>
                      <w:rFonts w:eastAsia="宋体"/>
                      <w:kern w:val="0"/>
                      <w:sz w:val="21"/>
                      <w:szCs w:val="21"/>
                    </w:rPr>
                  </w:pPr>
                  <w:r>
                    <w:rPr>
                      <w:rFonts w:hAnsi="宋体" w:eastAsia="宋体"/>
                      <w:kern w:val="0"/>
                      <w:sz w:val="21"/>
                      <w:szCs w:val="21"/>
                    </w:rPr>
                    <w:t>检测点位</w:t>
                  </w:r>
                </w:p>
              </w:tc>
              <w:tc>
                <w:tcPr>
                  <w:tcW w:w="1167" w:type="pct"/>
                  <w:vAlign w:val="center"/>
                </w:tcPr>
                <w:p>
                  <w:pPr>
                    <w:adjustRightInd w:val="0"/>
                    <w:snapToGrid w:val="0"/>
                    <w:spacing w:line="240" w:lineRule="auto"/>
                    <w:jc w:val="center"/>
                    <w:rPr>
                      <w:rFonts w:hAnsi="宋体" w:eastAsia="宋体"/>
                      <w:kern w:val="0"/>
                      <w:sz w:val="21"/>
                      <w:szCs w:val="21"/>
                    </w:rPr>
                  </w:pPr>
                  <w:r>
                    <w:rPr>
                      <w:rFonts w:hint="eastAsia" w:hAnsi="宋体" w:eastAsia="宋体"/>
                      <w:kern w:val="0"/>
                      <w:sz w:val="21"/>
                      <w:szCs w:val="21"/>
                    </w:rPr>
                    <w:t>检测时间</w:t>
                  </w:r>
                </w:p>
              </w:tc>
              <w:tc>
                <w:tcPr>
                  <w:tcW w:w="1287" w:type="pct"/>
                  <w:vAlign w:val="center"/>
                </w:tcPr>
                <w:p>
                  <w:pPr>
                    <w:adjustRightInd w:val="0"/>
                    <w:snapToGrid w:val="0"/>
                    <w:spacing w:line="240" w:lineRule="auto"/>
                    <w:jc w:val="center"/>
                    <w:rPr>
                      <w:rFonts w:eastAsia="宋体"/>
                      <w:kern w:val="0"/>
                      <w:sz w:val="21"/>
                      <w:szCs w:val="21"/>
                    </w:rPr>
                  </w:pPr>
                  <w:r>
                    <w:rPr>
                      <w:rFonts w:hAnsi="宋体" w:eastAsia="宋体"/>
                      <w:kern w:val="0"/>
                      <w:sz w:val="21"/>
                      <w:szCs w:val="21"/>
                    </w:rPr>
                    <w:t>检测结果</w:t>
                  </w:r>
                </w:p>
              </w:tc>
              <w:tc>
                <w:tcPr>
                  <w:tcW w:w="747" w:type="pct"/>
                  <w:vAlign w:val="center"/>
                </w:tcPr>
                <w:p>
                  <w:pPr>
                    <w:adjustRightInd w:val="0"/>
                    <w:snapToGrid w:val="0"/>
                    <w:spacing w:line="240" w:lineRule="auto"/>
                    <w:jc w:val="center"/>
                    <w:rPr>
                      <w:rFonts w:eastAsia="宋体"/>
                      <w:kern w:val="0"/>
                      <w:sz w:val="21"/>
                      <w:szCs w:val="21"/>
                    </w:rPr>
                  </w:pPr>
                  <w:r>
                    <w:rPr>
                      <w:rFonts w:hAnsi="宋体" w:eastAsia="宋体"/>
                      <w:kern w:val="0"/>
                      <w:sz w:val="21"/>
                      <w:szCs w:val="21"/>
                    </w:rPr>
                    <w:t>执行标准</w:t>
                  </w:r>
                </w:p>
              </w:tc>
              <w:tc>
                <w:tcPr>
                  <w:tcW w:w="930" w:type="pct"/>
                  <w:vAlign w:val="center"/>
                </w:tcPr>
                <w:p>
                  <w:pPr>
                    <w:adjustRightInd w:val="0"/>
                    <w:snapToGrid w:val="0"/>
                    <w:spacing w:line="240" w:lineRule="auto"/>
                    <w:jc w:val="center"/>
                    <w:rPr>
                      <w:rFonts w:eastAsia="宋体"/>
                      <w:kern w:val="0"/>
                      <w:sz w:val="21"/>
                      <w:szCs w:val="21"/>
                    </w:rPr>
                  </w:pPr>
                  <w:r>
                    <w:rPr>
                      <w:rFonts w:hAnsi="宋体" w:eastAsia="宋体"/>
                      <w:kern w:val="0"/>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pct"/>
                  <w:vAlign w:val="center"/>
                </w:tcPr>
                <w:p>
                  <w:pPr>
                    <w:adjustRightInd w:val="0"/>
                    <w:snapToGrid w:val="0"/>
                    <w:spacing w:line="240" w:lineRule="auto"/>
                    <w:jc w:val="center"/>
                    <w:rPr>
                      <w:rFonts w:eastAsia="宋体"/>
                      <w:kern w:val="0"/>
                      <w:sz w:val="21"/>
                      <w:szCs w:val="21"/>
                    </w:rPr>
                  </w:pPr>
                  <w:r>
                    <w:rPr>
                      <w:rFonts w:hint="eastAsia" w:eastAsia="宋体"/>
                      <w:kern w:val="0"/>
                      <w:sz w:val="21"/>
                      <w:szCs w:val="21"/>
                    </w:rPr>
                    <w:t>Z1</w:t>
                  </w:r>
                </w:p>
              </w:tc>
              <w:tc>
                <w:tcPr>
                  <w:tcW w:w="1167" w:type="pct"/>
                  <w:vAlign w:val="center"/>
                </w:tcPr>
                <w:p>
                  <w:pPr>
                    <w:adjustRightInd w:val="0"/>
                    <w:snapToGrid w:val="0"/>
                    <w:spacing w:line="240" w:lineRule="auto"/>
                    <w:jc w:val="center"/>
                    <w:rPr>
                      <w:rFonts w:hAnsi="宋体" w:eastAsia="宋体"/>
                      <w:kern w:val="0"/>
                      <w:sz w:val="21"/>
                      <w:szCs w:val="21"/>
                    </w:rPr>
                  </w:pPr>
                  <w:r>
                    <w:rPr>
                      <w:rFonts w:hint="eastAsia" w:hAnsi="宋体" w:eastAsia="宋体"/>
                      <w:kern w:val="0"/>
                      <w:sz w:val="21"/>
                      <w:szCs w:val="21"/>
                    </w:rPr>
                    <w:t>15</w:t>
                  </w:r>
                  <w:r>
                    <w:rPr>
                      <w:rFonts w:hint="eastAsia" w:hAnsi="宋体" w:eastAsia="宋体"/>
                      <w:kern w:val="0"/>
                      <w:sz w:val="21"/>
                      <w:szCs w:val="21"/>
                      <w:lang w:val="en-US" w:eastAsia="zh-CN"/>
                    </w:rPr>
                    <w:t>;</w:t>
                  </w:r>
                  <w:r>
                    <w:rPr>
                      <w:rFonts w:hint="eastAsia" w:hAnsi="宋体" w:eastAsia="宋体"/>
                      <w:kern w:val="0"/>
                      <w:sz w:val="21"/>
                      <w:szCs w:val="21"/>
                    </w:rPr>
                    <w:t>02</w:t>
                  </w:r>
                </w:p>
              </w:tc>
              <w:tc>
                <w:tcPr>
                  <w:tcW w:w="1287" w:type="pct"/>
                  <w:vAlign w:val="center"/>
                </w:tcPr>
                <w:p>
                  <w:pPr>
                    <w:adjustRightInd w:val="0"/>
                    <w:snapToGrid w:val="0"/>
                    <w:spacing w:line="240" w:lineRule="auto"/>
                    <w:jc w:val="center"/>
                    <w:rPr>
                      <w:rFonts w:hAnsi="宋体" w:eastAsia="宋体"/>
                      <w:kern w:val="0"/>
                      <w:sz w:val="21"/>
                      <w:szCs w:val="21"/>
                    </w:rPr>
                  </w:pPr>
                  <w:r>
                    <w:rPr>
                      <w:rFonts w:hint="eastAsia" w:hAnsi="宋体" w:eastAsia="宋体"/>
                      <w:kern w:val="0"/>
                      <w:sz w:val="21"/>
                      <w:szCs w:val="21"/>
                    </w:rPr>
                    <w:t>49</w:t>
                  </w:r>
                </w:p>
              </w:tc>
              <w:tc>
                <w:tcPr>
                  <w:tcW w:w="747" w:type="pct"/>
                  <w:vAlign w:val="center"/>
                </w:tcPr>
                <w:p>
                  <w:pPr>
                    <w:adjustRightInd w:val="0"/>
                    <w:snapToGrid w:val="0"/>
                    <w:spacing w:line="240" w:lineRule="auto"/>
                    <w:jc w:val="center"/>
                    <w:rPr>
                      <w:rFonts w:eastAsia="宋体"/>
                      <w:kern w:val="0"/>
                      <w:sz w:val="21"/>
                      <w:szCs w:val="21"/>
                    </w:rPr>
                  </w:pPr>
                  <w:r>
                    <w:rPr>
                      <w:rFonts w:hint="eastAsia" w:eastAsia="宋体"/>
                      <w:kern w:val="0"/>
                      <w:sz w:val="21"/>
                      <w:szCs w:val="21"/>
                    </w:rPr>
                    <w:t>60</w:t>
                  </w:r>
                </w:p>
              </w:tc>
              <w:tc>
                <w:tcPr>
                  <w:tcW w:w="930" w:type="pct"/>
                  <w:vAlign w:val="center"/>
                </w:tcPr>
                <w:p>
                  <w:pPr>
                    <w:adjustRightInd w:val="0"/>
                    <w:snapToGrid w:val="0"/>
                    <w:spacing w:line="240" w:lineRule="auto"/>
                    <w:jc w:val="center"/>
                    <w:rPr>
                      <w:rFonts w:eastAsia="宋体"/>
                      <w:kern w:val="0"/>
                      <w:sz w:val="21"/>
                      <w:szCs w:val="21"/>
                    </w:rPr>
                  </w:pPr>
                  <w:r>
                    <w:rPr>
                      <w:rFonts w:hint="eastAsia" w:eastAsia="宋体"/>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pct"/>
                  <w:vAlign w:val="center"/>
                </w:tcPr>
                <w:p>
                  <w:pPr>
                    <w:adjustRightInd w:val="0"/>
                    <w:snapToGrid w:val="0"/>
                    <w:spacing w:line="240" w:lineRule="auto"/>
                    <w:jc w:val="center"/>
                    <w:rPr>
                      <w:rFonts w:eastAsia="宋体"/>
                      <w:kern w:val="0"/>
                      <w:sz w:val="21"/>
                      <w:szCs w:val="21"/>
                    </w:rPr>
                  </w:pPr>
                  <w:r>
                    <w:rPr>
                      <w:rFonts w:hint="eastAsia" w:eastAsia="宋体"/>
                      <w:kern w:val="0"/>
                      <w:sz w:val="21"/>
                      <w:szCs w:val="21"/>
                    </w:rPr>
                    <w:t>Z2</w:t>
                  </w:r>
                </w:p>
              </w:tc>
              <w:tc>
                <w:tcPr>
                  <w:tcW w:w="1167" w:type="pct"/>
                  <w:vAlign w:val="center"/>
                </w:tcPr>
                <w:p>
                  <w:pPr>
                    <w:adjustRightInd w:val="0"/>
                    <w:snapToGrid w:val="0"/>
                    <w:spacing w:line="240" w:lineRule="auto"/>
                    <w:jc w:val="center"/>
                    <w:rPr>
                      <w:rFonts w:hAnsi="宋体" w:eastAsia="宋体"/>
                      <w:kern w:val="0"/>
                      <w:sz w:val="21"/>
                      <w:szCs w:val="21"/>
                    </w:rPr>
                  </w:pPr>
                  <w:r>
                    <w:rPr>
                      <w:rFonts w:hint="eastAsia" w:hAnsi="宋体" w:eastAsia="宋体"/>
                      <w:kern w:val="0"/>
                      <w:sz w:val="21"/>
                      <w:szCs w:val="21"/>
                    </w:rPr>
                    <w:t>15</w:t>
                  </w:r>
                  <w:r>
                    <w:rPr>
                      <w:rFonts w:hint="eastAsia" w:hAnsi="宋体" w:eastAsia="宋体"/>
                      <w:kern w:val="0"/>
                      <w:sz w:val="21"/>
                      <w:szCs w:val="21"/>
                      <w:lang w:eastAsia="zh-CN"/>
                    </w:rPr>
                    <w:t>：</w:t>
                  </w:r>
                  <w:r>
                    <w:rPr>
                      <w:rFonts w:hint="eastAsia" w:hAnsi="宋体" w:eastAsia="宋体"/>
                      <w:kern w:val="0"/>
                      <w:sz w:val="21"/>
                      <w:szCs w:val="21"/>
                    </w:rPr>
                    <w:t>31</w:t>
                  </w:r>
                </w:p>
              </w:tc>
              <w:tc>
                <w:tcPr>
                  <w:tcW w:w="1287" w:type="pct"/>
                  <w:vAlign w:val="center"/>
                </w:tcPr>
                <w:p>
                  <w:pPr>
                    <w:adjustRightInd w:val="0"/>
                    <w:snapToGrid w:val="0"/>
                    <w:spacing w:line="240" w:lineRule="auto"/>
                    <w:jc w:val="center"/>
                    <w:rPr>
                      <w:rFonts w:hAnsi="宋体" w:eastAsia="宋体"/>
                      <w:kern w:val="0"/>
                      <w:sz w:val="21"/>
                      <w:szCs w:val="21"/>
                    </w:rPr>
                  </w:pPr>
                  <w:r>
                    <w:rPr>
                      <w:rFonts w:hint="eastAsia" w:hAnsi="宋体" w:eastAsia="宋体"/>
                      <w:kern w:val="0"/>
                      <w:sz w:val="21"/>
                      <w:szCs w:val="21"/>
                    </w:rPr>
                    <w:t>46</w:t>
                  </w:r>
                </w:p>
              </w:tc>
              <w:tc>
                <w:tcPr>
                  <w:tcW w:w="747" w:type="pct"/>
                  <w:vAlign w:val="center"/>
                </w:tcPr>
                <w:p>
                  <w:pPr>
                    <w:adjustRightInd w:val="0"/>
                    <w:snapToGrid w:val="0"/>
                    <w:spacing w:line="240" w:lineRule="auto"/>
                    <w:jc w:val="center"/>
                    <w:rPr>
                      <w:rFonts w:eastAsia="宋体"/>
                      <w:kern w:val="0"/>
                      <w:sz w:val="21"/>
                      <w:szCs w:val="21"/>
                    </w:rPr>
                  </w:pPr>
                  <w:r>
                    <w:rPr>
                      <w:rFonts w:hint="eastAsia" w:eastAsia="宋体"/>
                      <w:kern w:val="0"/>
                      <w:sz w:val="21"/>
                      <w:szCs w:val="21"/>
                    </w:rPr>
                    <w:t>60</w:t>
                  </w:r>
                </w:p>
              </w:tc>
              <w:tc>
                <w:tcPr>
                  <w:tcW w:w="930" w:type="pct"/>
                  <w:vAlign w:val="center"/>
                </w:tcPr>
                <w:p>
                  <w:pPr>
                    <w:adjustRightInd w:val="0"/>
                    <w:snapToGrid w:val="0"/>
                    <w:spacing w:line="240" w:lineRule="auto"/>
                    <w:jc w:val="center"/>
                    <w:rPr>
                      <w:rFonts w:eastAsia="宋体"/>
                      <w:kern w:val="0"/>
                      <w:sz w:val="21"/>
                      <w:szCs w:val="21"/>
                    </w:rPr>
                  </w:pPr>
                  <w:r>
                    <w:rPr>
                      <w:rFonts w:hint="eastAsia" w:eastAsia="宋体"/>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pct"/>
                  <w:vAlign w:val="center"/>
                </w:tcPr>
                <w:p>
                  <w:pPr>
                    <w:adjustRightInd w:val="0"/>
                    <w:snapToGrid w:val="0"/>
                    <w:spacing w:line="240" w:lineRule="auto"/>
                    <w:jc w:val="center"/>
                    <w:rPr>
                      <w:rFonts w:eastAsia="宋体"/>
                      <w:kern w:val="0"/>
                      <w:sz w:val="21"/>
                      <w:szCs w:val="21"/>
                    </w:rPr>
                  </w:pPr>
                  <w:r>
                    <w:rPr>
                      <w:rFonts w:hint="eastAsia" w:eastAsia="宋体"/>
                      <w:kern w:val="0"/>
                      <w:sz w:val="21"/>
                      <w:szCs w:val="21"/>
                    </w:rPr>
                    <w:t>Z3</w:t>
                  </w:r>
                </w:p>
              </w:tc>
              <w:tc>
                <w:tcPr>
                  <w:tcW w:w="1167" w:type="pct"/>
                  <w:vAlign w:val="center"/>
                </w:tcPr>
                <w:p>
                  <w:pPr>
                    <w:adjustRightInd w:val="0"/>
                    <w:snapToGrid w:val="0"/>
                    <w:spacing w:line="240" w:lineRule="auto"/>
                    <w:jc w:val="center"/>
                    <w:rPr>
                      <w:rFonts w:hAnsi="宋体" w:eastAsia="宋体"/>
                      <w:kern w:val="0"/>
                      <w:sz w:val="21"/>
                      <w:szCs w:val="21"/>
                    </w:rPr>
                  </w:pPr>
                  <w:r>
                    <w:rPr>
                      <w:rFonts w:hint="eastAsia" w:hAnsi="宋体" w:eastAsia="宋体"/>
                      <w:kern w:val="0"/>
                      <w:sz w:val="21"/>
                      <w:szCs w:val="21"/>
                    </w:rPr>
                    <w:t>16</w:t>
                  </w:r>
                  <w:r>
                    <w:rPr>
                      <w:rFonts w:hint="eastAsia" w:hAnsi="宋体" w:eastAsia="宋体"/>
                      <w:kern w:val="0"/>
                      <w:sz w:val="21"/>
                      <w:szCs w:val="21"/>
                      <w:lang w:eastAsia="zh-CN"/>
                    </w:rPr>
                    <w:t>：</w:t>
                  </w:r>
                  <w:r>
                    <w:rPr>
                      <w:rFonts w:hint="eastAsia" w:hAnsi="宋体" w:eastAsia="宋体"/>
                      <w:kern w:val="0"/>
                      <w:sz w:val="21"/>
                      <w:szCs w:val="21"/>
                    </w:rPr>
                    <w:t>02</w:t>
                  </w:r>
                </w:p>
              </w:tc>
              <w:tc>
                <w:tcPr>
                  <w:tcW w:w="1287" w:type="pct"/>
                  <w:vAlign w:val="center"/>
                </w:tcPr>
                <w:p>
                  <w:pPr>
                    <w:adjustRightInd w:val="0"/>
                    <w:snapToGrid w:val="0"/>
                    <w:spacing w:line="240" w:lineRule="auto"/>
                    <w:jc w:val="center"/>
                    <w:rPr>
                      <w:rFonts w:hAnsi="宋体" w:eastAsia="宋体"/>
                      <w:kern w:val="0"/>
                      <w:sz w:val="21"/>
                      <w:szCs w:val="21"/>
                    </w:rPr>
                  </w:pPr>
                  <w:r>
                    <w:rPr>
                      <w:rFonts w:hint="eastAsia" w:hAnsi="宋体" w:eastAsia="宋体"/>
                      <w:kern w:val="0"/>
                      <w:sz w:val="21"/>
                      <w:szCs w:val="21"/>
                    </w:rPr>
                    <w:t>47</w:t>
                  </w:r>
                </w:p>
              </w:tc>
              <w:tc>
                <w:tcPr>
                  <w:tcW w:w="747" w:type="pct"/>
                  <w:vAlign w:val="center"/>
                </w:tcPr>
                <w:p>
                  <w:pPr>
                    <w:adjustRightInd w:val="0"/>
                    <w:snapToGrid w:val="0"/>
                    <w:spacing w:line="240" w:lineRule="auto"/>
                    <w:jc w:val="center"/>
                    <w:rPr>
                      <w:rFonts w:eastAsia="宋体"/>
                      <w:kern w:val="0"/>
                      <w:sz w:val="21"/>
                      <w:szCs w:val="21"/>
                    </w:rPr>
                  </w:pPr>
                  <w:r>
                    <w:rPr>
                      <w:rFonts w:hint="eastAsia" w:eastAsia="宋体"/>
                      <w:kern w:val="0"/>
                      <w:sz w:val="21"/>
                      <w:szCs w:val="21"/>
                    </w:rPr>
                    <w:t>60</w:t>
                  </w:r>
                </w:p>
              </w:tc>
              <w:tc>
                <w:tcPr>
                  <w:tcW w:w="930" w:type="pct"/>
                  <w:vAlign w:val="center"/>
                </w:tcPr>
                <w:p>
                  <w:pPr>
                    <w:adjustRightInd w:val="0"/>
                    <w:snapToGrid w:val="0"/>
                    <w:spacing w:line="240" w:lineRule="auto"/>
                    <w:jc w:val="center"/>
                    <w:rPr>
                      <w:rFonts w:eastAsia="宋体"/>
                      <w:kern w:val="0"/>
                      <w:sz w:val="21"/>
                      <w:szCs w:val="21"/>
                    </w:rPr>
                  </w:pPr>
                  <w:r>
                    <w:rPr>
                      <w:rFonts w:hint="eastAsia" w:eastAsia="宋体"/>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pct"/>
                  <w:vAlign w:val="center"/>
                </w:tcPr>
                <w:p>
                  <w:pPr>
                    <w:adjustRightInd w:val="0"/>
                    <w:snapToGrid w:val="0"/>
                    <w:spacing w:line="240" w:lineRule="auto"/>
                    <w:jc w:val="center"/>
                    <w:rPr>
                      <w:rFonts w:eastAsia="宋体"/>
                      <w:kern w:val="0"/>
                      <w:sz w:val="21"/>
                      <w:szCs w:val="21"/>
                    </w:rPr>
                  </w:pPr>
                  <w:r>
                    <w:rPr>
                      <w:rFonts w:hint="eastAsia" w:eastAsia="宋体"/>
                      <w:kern w:val="0"/>
                      <w:sz w:val="21"/>
                      <w:szCs w:val="21"/>
                    </w:rPr>
                    <w:t>Z4</w:t>
                  </w:r>
                </w:p>
              </w:tc>
              <w:tc>
                <w:tcPr>
                  <w:tcW w:w="1167" w:type="pct"/>
                  <w:vAlign w:val="center"/>
                </w:tcPr>
                <w:p>
                  <w:pPr>
                    <w:adjustRightInd w:val="0"/>
                    <w:snapToGrid w:val="0"/>
                    <w:spacing w:line="240" w:lineRule="auto"/>
                    <w:jc w:val="center"/>
                    <w:rPr>
                      <w:rFonts w:hAnsi="宋体" w:eastAsia="宋体"/>
                      <w:kern w:val="0"/>
                      <w:sz w:val="21"/>
                      <w:szCs w:val="21"/>
                    </w:rPr>
                  </w:pPr>
                  <w:r>
                    <w:rPr>
                      <w:rFonts w:hint="eastAsia" w:hAnsi="宋体" w:eastAsia="宋体"/>
                      <w:kern w:val="0"/>
                      <w:sz w:val="21"/>
                      <w:szCs w:val="21"/>
                    </w:rPr>
                    <w:t>16</w:t>
                  </w:r>
                  <w:r>
                    <w:rPr>
                      <w:rFonts w:hint="eastAsia" w:hAnsi="宋体" w:eastAsia="宋体"/>
                      <w:kern w:val="0"/>
                      <w:sz w:val="21"/>
                      <w:szCs w:val="21"/>
                      <w:lang w:eastAsia="zh-CN"/>
                    </w:rPr>
                    <w:t>：</w:t>
                  </w:r>
                  <w:r>
                    <w:rPr>
                      <w:rFonts w:hint="eastAsia" w:hAnsi="宋体" w:eastAsia="宋体"/>
                      <w:kern w:val="0"/>
                      <w:sz w:val="21"/>
                      <w:szCs w:val="21"/>
                    </w:rPr>
                    <w:t>31</w:t>
                  </w:r>
                </w:p>
              </w:tc>
              <w:tc>
                <w:tcPr>
                  <w:tcW w:w="1287" w:type="pct"/>
                  <w:vAlign w:val="center"/>
                </w:tcPr>
                <w:p>
                  <w:pPr>
                    <w:adjustRightInd w:val="0"/>
                    <w:snapToGrid w:val="0"/>
                    <w:spacing w:line="240" w:lineRule="auto"/>
                    <w:jc w:val="center"/>
                    <w:rPr>
                      <w:rFonts w:hAnsi="宋体" w:eastAsia="宋体"/>
                      <w:kern w:val="0"/>
                      <w:sz w:val="21"/>
                      <w:szCs w:val="21"/>
                    </w:rPr>
                  </w:pPr>
                  <w:r>
                    <w:rPr>
                      <w:rFonts w:hint="eastAsia" w:hAnsi="宋体" w:eastAsia="宋体"/>
                      <w:kern w:val="0"/>
                      <w:sz w:val="21"/>
                      <w:szCs w:val="21"/>
                    </w:rPr>
                    <w:t>50</w:t>
                  </w:r>
                </w:p>
              </w:tc>
              <w:tc>
                <w:tcPr>
                  <w:tcW w:w="747" w:type="pct"/>
                  <w:vAlign w:val="center"/>
                </w:tcPr>
                <w:p>
                  <w:pPr>
                    <w:adjustRightInd w:val="0"/>
                    <w:snapToGrid w:val="0"/>
                    <w:spacing w:line="240" w:lineRule="auto"/>
                    <w:jc w:val="center"/>
                    <w:rPr>
                      <w:rFonts w:eastAsia="宋体"/>
                      <w:kern w:val="0"/>
                      <w:sz w:val="21"/>
                      <w:szCs w:val="21"/>
                    </w:rPr>
                  </w:pPr>
                  <w:r>
                    <w:rPr>
                      <w:rFonts w:hint="eastAsia" w:eastAsia="宋体"/>
                      <w:kern w:val="0"/>
                      <w:sz w:val="21"/>
                      <w:szCs w:val="21"/>
                    </w:rPr>
                    <w:t>60</w:t>
                  </w:r>
                </w:p>
              </w:tc>
              <w:tc>
                <w:tcPr>
                  <w:tcW w:w="930" w:type="pct"/>
                  <w:vAlign w:val="center"/>
                </w:tcPr>
                <w:p>
                  <w:pPr>
                    <w:adjustRightInd w:val="0"/>
                    <w:snapToGrid w:val="0"/>
                    <w:spacing w:line="240" w:lineRule="auto"/>
                    <w:jc w:val="center"/>
                    <w:rPr>
                      <w:rFonts w:eastAsia="宋体"/>
                      <w:kern w:val="0"/>
                      <w:sz w:val="21"/>
                      <w:szCs w:val="21"/>
                    </w:rPr>
                  </w:pPr>
                  <w:r>
                    <w:rPr>
                      <w:rFonts w:hint="eastAsia" w:eastAsia="宋体"/>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pct"/>
                  <w:vAlign w:val="center"/>
                </w:tcPr>
                <w:p>
                  <w:pPr>
                    <w:adjustRightInd w:val="0"/>
                    <w:snapToGrid w:val="0"/>
                    <w:spacing w:line="240" w:lineRule="auto"/>
                    <w:jc w:val="center"/>
                    <w:rPr>
                      <w:rFonts w:eastAsia="宋体"/>
                      <w:kern w:val="0"/>
                      <w:sz w:val="21"/>
                      <w:szCs w:val="21"/>
                    </w:rPr>
                  </w:pPr>
                  <w:r>
                    <w:rPr>
                      <w:rFonts w:hint="eastAsia" w:eastAsia="宋体"/>
                      <w:kern w:val="0"/>
                      <w:sz w:val="21"/>
                      <w:szCs w:val="21"/>
                    </w:rPr>
                    <w:t>Z5</w:t>
                  </w:r>
                </w:p>
              </w:tc>
              <w:tc>
                <w:tcPr>
                  <w:tcW w:w="1167" w:type="pct"/>
                  <w:vAlign w:val="center"/>
                </w:tcPr>
                <w:p>
                  <w:pPr>
                    <w:adjustRightInd w:val="0"/>
                    <w:snapToGrid w:val="0"/>
                    <w:spacing w:line="240" w:lineRule="auto"/>
                    <w:jc w:val="center"/>
                    <w:rPr>
                      <w:rFonts w:hAnsi="宋体" w:eastAsia="宋体"/>
                      <w:kern w:val="0"/>
                      <w:sz w:val="21"/>
                      <w:szCs w:val="21"/>
                    </w:rPr>
                  </w:pPr>
                  <w:r>
                    <w:rPr>
                      <w:rFonts w:hint="eastAsia" w:hAnsi="宋体" w:eastAsia="宋体"/>
                      <w:kern w:val="0"/>
                      <w:sz w:val="21"/>
                      <w:szCs w:val="21"/>
                    </w:rPr>
                    <w:t>17</w:t>
                  </w:r>
                  <w:r>
                    <w:rPr>
                      <w:rFonts w:hint="eastAsia" w:hAnsi="宋体" w:eastAsia="宋体"/>
                      <w:kern w:val="0"/>
                      <w:sz w:val="21"/>
                      <w:szCs w:val="21"/>
                      <w:lang w:eastAsia="zh-CN"/>
                    </w:rPr>
                    <w:t>：</w:t>
                  </w:r>
                  <w:r>
                    <w:rPr>
                      <w:rFonts w:hint="eastAsia" w:hAnsi="宋体" w:eastAsia="宋体"/>
                      <w:kern w:val="0"/>
                      <w:sz w:val="21"/>
                      <w:szCs w:val="21"/>
                    </w:rPr>
                    <w:t>09</w:t>
                  </w:r>
                </w:p>
              </w:tc>
              <w:tc>
                <w:tcPr>
                  <w:tcW w:w="1287" w:type="pct"/>
                  <w:vAlign w:val="center"/>
                </w:tcPr>
                <w:p>
                  <w:pPr>
                    <w:adjustRightInd w:val="0"/>
                    <w:snapToGrid w:val="0"/>
                    <w:spacing w:line="240" w:lineRule="auto"/>
                    <w:jc w:val="center"/>
                    <w:rPr>
                      <w:rFonts w:hAnsi="宋体" w:eastAsia="宋体"/>
                      <w:kern w:val="0"/>
                      <w:sz w:val="21"/>
                      <w:szCs w:val="21"/>
                    </w:rPr>
                  </w:pPr>
                  <w:r>
                    <w:rPr>
                      <w:rFonts w:hint="eastAsia" w:hAnsi="宋体" w:eastAsia="宋体"/>
                      <w:kern w:val="0"/>
                      <w:sz w:val="21"/>
                      <w:szCs w:val="21"/>
                    </w:rPr>
                    <w:t>46</w:t>
                  </w:r>
                </w:p>
              </w:tc>
              <w:tc>
                <w:tcPr>
                  <w:tcW w:w="747" w:type="pct"/>
                  <w:vAlign w:val="center"/>
                </w:tcPr>
                <w:p>
                  <w:pPr>
                    <w:adjustRightInd w:val="0"/>
                    <w:snapToGrid w:val="0"/>
                    <w:spacing w:line="240" w:lineRule="auto"/>
                    <w:jc w:val="center"/>
                    <w:rPr>
                      <w:rFonts w:eastAsia="宋体"/>
                      <w:kern w:val="0"/>
                      <w:sz w:val="21"/>
                      <w:szCs w:val="21"/>
                    </w:rPr>
                  </w:pPr>
                  <w:r>
                    <w:rPr>
                      <w:rFonts w:hint="eastAsia" w:eastAsia="宋体"/>
                      <w:kern w:val="0"/>
                      <w:sz w:val="21"/>
                      <w:szCs w:val="21"/>
                    </w:rPr>
                    <w:t>60</w:t>
                  </w:r>
                </w:p>
              </w:tc>
              <w:tc>
                <w:tcPr>
                  <w:tcW w:w="930" w:type="pct"/>
                  <w:vAlign w:val="center"/>
                </w:tcPr>
                <w:p>
                  <w:pPr>
                    <w:adjustRightInd w:val="0"/>
                    <w:snapToGrid w:val="0"/>
                    <w:spacing w:line="240" w:lineRule="auto"/>
                    <w:jc w:val="center"/>
                    <w:rPr>
                      <w:rFonts w:eastAsia="宋体"/>
                      <w:kern w:val="0"/>
                      <w:sz w:val="21"/>
                      <w:szCs w:val="21"/>
                    </w:rPr>
                  </w:pPr>
                  <w:r>
                    <w:rPr>
                      <w:rFonts w:hint="eastAsia" w:eastAsia="宋体"/>
                      <w:kern w:val="0"/>
                      <w:sz w:val="21"/>
                      <w:szCs w:val="21"/>
                    </w:rPr>
                    <w:t>达标</w:t>
                  </w:r>
                </w:p>
              </w:tc>
            </w:tr>
          </w:tbl>
          <w:p>
            <w:pPr>
              <w:adjustRightInd w:val="0"/>
              <w:snapToGrid w:val="0"/>
              <w:spacing w:line="440" w:lineRule="exact"/>
              <w:ind w:firstLine="480" w:firstLineChars="200"/>
              <w:rPr>
                <w:rFonts w:eastAsia="宋体"/>
                <w:kern w:val="0"/>
              </w:rPr>
            </w:pPr>
            <w:r>
              <w:rPr>
                <w:rFonts w:hint="eastAsia" w:eastAsia="宋体"/>
                <w:kern w:val="0"/>
              </w:rPr>
              <w:t>根据现场检测结果可知，各检测点位声环境检测值昼间在46~50dB（A）之间，均符合《声环境质量标准》（GB3096-2008）2类标准要求。</w:t>
            </w:r>
          </w:p>
          <w:p>
            <w:pPr>
              <w:adjustRightInd w:val="0"/>
              <w:snapToGrid w:val="0"/>
              <w:spacing w:line="440" w:lineRule="exact"/>
              <w:rPr>
                <w:rFonts w:eastAsia="宋体"/>
                <w:b/>
                <w:kern w:val="0"/>
              </w:rPr>
            </w:pPr>
            <w:r>
              <w:rPr>
                <w:rFonts w:hint="eastAsia" w:eastAsia="宋体"/>
                <w:b/>
                <w:kern w:val="0"/>
              </w:rPr>
              <w:t>4、生态环境</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根据《建设项目环境影响报告表编制技术指南（污染影响类）（试行）》，本项目不涉及自然保护区、风景名胜区及森林公园生态敏感区、永久性基本农田等生态保护目标，无需进行生态现状调查。</w:t>
            </w:r>
          </w:p>
          <w:p>
            <w:pPr>
              <w:pStyle w:val="16"/>
              <w:rPr>
                <w:rFonts w:ascii="Times New Roman" w:hAnsi="Times New Roman" w:eastAsia="宋体" w:cs="Times New Roman"/>
                <w:b/>
                <w:kern w:val="0"/>
              </w:rPr>
            </w:pPr>
            <w:r>
              <w:rPr>
                <w:rFonts w:ascii="Times New Roman" w:hAnsi="Times New Roman" w:eastAsia="宋体" w:cs="Times New Roman"/>
                <w:b/>
                <w:kern w:val="0"/>
              </w:rPr>
              <w:t>5</w:t>
            </w:r>
            <w:r>
              <w:rPr>
                <w:rFonts w:hint="eastAsia" w:ascii="Times New Roman" w:hAnsi="Times New Roman" w:eastAsia="宋体" w:cs="Times New Roman"/>
                <w:b/>
                <w:kern w:val="0"/>
              </w:rPr>
              <w:t>、地下水、土壤环境质量现状</w:t>
            </w:r>
          </w:p>
          <w:p>
            <w:pPr>
              <w:ind w:firstLine="480" w:firstLineChars="200"/>
              <w:rPr>
                <w:rFonts w:eastAsia="宋体"/>
                <w:kern w:val="0"/>
              </w:rPr>
            </w:pPr>
            <w:r>
              <w:rPr>
                <w:rFonts w:hint="eastAsia" w:eastAsia="宋体"/>
                <w:kern w:val="0"/>
              </w:rPr>
              <w:t>本次报告引用《</w:t>
            </w:r>
            <w:r>
              <w:rPr>
                <w:rFonts w:eastAsia="宋体"/>
                <w:kern w:val="0"/>
              </w:rPr>
              <w:t>临平联胜九年一贯制学校项目地块土壤污染状况初步调查</w:t>
            </w:r>
            <w:r>
              <w:rPr>
                <w:rFonts w:hint="eastAsia" w:eastAsia="宋体"/>
                <w:kern w:val="0"/>
              </w:rPr>
              <w:t>报告》中的监测结果来评价项目所在地土壤和地下水环境质量现状。具体</w:t>
            </w:r>
            <w:r>
              <w:rPr>
                <w:rFonts w:eastAsia="宋体"/>
                <w:kern w:val="0"/>
              </w:rPr>
              <w:t>结果</w:t>
            </w:r>
            <w:r>
              <w:rPr>
                <w:rFonts w:hint="eastAsia" w:eastAsia="宋体"/>
                <w:kern w:val="0"/>
              </w:rPr>
              <w:t>如下</w:t>
            </w:r>
            <w:r>
              <w:rPr>
                <w:rFonts w:eastAsia="宋体"/>
                <w:kern w:val="0"/>
              </w:rPr>
              <w:t>：</w:t>
            </w:r>
          </w:p>
          <w:p>
            <w:pPr>
              <w:ind w:firstLine="480" w:firstLineChars="200"/>
              <w:rPr>
                <w:rFonts w:eastAsia="宋体"/>
                <w:kern w:val="0"/>
              </w:rPr>
            </w:pPr>
            <w:r>
              <w:rPr>
                <w:rFonts w:eastAsia="宋体"/>
                <w:kern w:val="0"/>
              </w:rPr>
              <w:t>该地块土壤样品各检出污染物浓度均低于《土壤环境质量 建设用地土壤污染风险管控标准（试行）》（GB36600-2018）第一类用地筛选值。地下水各检出污染物浓度除氨氮外均满足《地下水质量标准》（GB/T 14848-2017）Ⅳ类水标准限值要求，地表水样品各检出污染物除氨氮外均达到《地表水环境质量标准》（GB 3838-2002）Ⅳ类水标准限值要求，推测由于地块内河道已断流，水体逐渐干涸并不与其他水体交换，导致水质变差，进而影响地下水。根据《地下水健康风险评估工作指南》，场地地下水不作为饮用水且不涉及地下水饮用水源补给径流区和保护区的前提下，氨氮不是有毒有害指标，无需开展人体健康风险评估工作。且根据地块后续规划利用情况，地下水及地块内地表水均不做利用。</w:t>
            </w:r>
          </w:p>
          <w:p>
            <w:pPr>
              <w:ind w:firstLine="480" w:firstLineChars="200"/>
              <w:rPr>
                <w:rFonts w:eastAsia="宋体"/>
                <w:kern w:val="0"/>
              </w:rPr>
            </w:pPr>
            <w:r>
              <w:rPr>
                <w:rFonts w:eastAsia="宋体"/>
                <w:kern w:val="0"/>
              </w:rPr>
              <w:t>综上</w:t>
            </w:r>
            <w:r>
              <w:rPr>
                <w:rFonts w:hint="eastAsia" w:eastAsia="宋体"/>
                <w:kern w:val="0"/>
              </w:rPr>
              <w:t>，</w:t>
            </w:r>
            <w:r>
              <w:rPr>
                <w:rFonts w:eastAsia="宋体"/>
                <w:kern w:val="0"/>
              </w:rPr>
              <w:t>临平联胜九年一贯制学校项目地块满足《浙江省建设用地土壤污染风险管控和修复监督管理办法》（浙环发[2021]21号）敏感用地开发要求，可以作为《国土空间调查、规划、用途管制用地用海分类指南》（自然资办发〔2020〕51号）属于公共管理与公共服务用地（08）中的中小学用地（080403）使用，无需开展后续详细调查工作。</w:t>
            </w:r>
          </w:p>
          <w:p>
            <w:pPr>
              <w:rPr>
                <w:rFonts w:eastAsia="宋体"/>
                <w:b/>
                <w:bCs/>
              </w:rPr>
            </w:pPr>
            <w:r>
              <w:rPr>
                <w:rFonts w:eastAsia="宋体"/>
                <w:b/>
                <w:bCs/>
              </w:rPr>
              <w:t>6</w:t>
            </w:r>
            <w:r>
              <w:rPr>
                <w:rFonts w:hint="eastAsia" w:eastAsia="宋体"/>
                <w:b/>
                <w:bCs/>
              </w:rPr>
              <w:t>、电磁辐射</w:t>
            </w:r>
          </w:p>
          <w:p>
            <w:pPr>
              <w:pStyle w:val="16"/>
              <w:ind w:firstLine="480" w:firstLineChars="200"/>
            </w:pPr>
            <w:r>
              <w:rPr>
                <w:rFonts w:ascii="Times New Roman" w:hAnsi="Times New Roman" w:eastAsia="宋体" w:cs="Times New Roman"/>
              </w:rPr>
              <w:t>根据《建设项目环境影响报告表编制技术指南（污染影响类）（试行）》，本项目不属于新建或改建、扩建广播电台、差转台、电视塔台、卫星地球上行站、雷达等电磁辐射类项目，无需对电磁辐射现状开展监测与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16"/>
              <w:spacing w:line="240" w:lineRule="auto"/>
              <w:jc w:val="center"/>
              <w:rPr>
                <w:rFonts w:ascii="Times New Roman" w:hAnsi="Times New Roman" w:eastAsia="宋体" w:cs="Times New Roman"/>
              </w:rPr>
            </w:pPr>
            <w:r>
              <w:rPr>
                <w:rFonts w:hint="eastAsia" w:ascii="Times New Roman" w:hAnsi="Times New Roman" w:eastAsia="宋体" w:cs="Times New Roman"/>
              </w:rPr>
              <w:t>环境保护目标</w:t>
            </w:r>
          </w:p>
        </w:tc>
        <w:tc>
          <w:tcPr>
            <w:tcW w:w="7734" w:type="dxa"/>
          </w:tcPr>
          <w:p>
            <w:pPr>
              <w:pStyle w:val="16"/>
              <w:ind w:firstLine="480" w:firstLineChars="200"/>
              <w:jc w:val="left"/>
              <w:rPr>
                <w:rFonts w:ascii="Times New Roman" w:hAnsi="Times New Roman" w:eastAsia="宋体" w:cs="Times New Roman"/>
              </w:rPr>
            </w:pPr>
            <w:r>
              <w:rPr>
                <w:rFonts w:ascii="Times New Roman" w:hAnsi="Times New Roman" w:eastAsia="宋体" w:cs="Times New Roman"/>
              </w:rPr>
              <w:t>根据项目具体特点、区域现状及规划初步踏勘，</w:t>
            </w:r>
            <w:r>
              <w:rPr>
                <w:rFonts w:hint="eastAsia" w:ascii="Times New Roman" w:hAnsi="Times New Roman" w:eastAsia="宋体" w:cs="Times New Roman"/>
              </w:rPr>
              <w:t>本</w:t>
            </w:r>
            <w:r>
              <w:rPr>
                <w:rFonts w:ascii="Times New Roman" w:hAnsi="Times New Roman" w:eastAsia="宋体" w:cs="Times New Roman"/>
              </w:rPr>
              <w:t>项目评价区域内主要环境保护目标为：</w:t>
            </w:r>
          </w:p>
          <w:p>
            <w:pPr>
              <w:pStyle w:val="16"/>
              <w:ind w:firstLine="480" w:firstLineChars="200"/>
              <w:jc w:val="left"/>
              <w:rPr>
                <w:rFonts w:ascii="Times New Roman" w:hAnsi="Times New Roman" w:eastAsia="宋体" w:cs="Times New Roman"/>
              </w:rPr>
            </w:pPr>
            <w:r>
              <w:rPr>
                <w:rFonts w:hint="eastAsia" w:ascii="Times New Roman" w:hAnsi="Times New Roman" w:eastAsia="宋体" w:cs="Times New Roman"/>
              </w:rPr>
              <w:t>1、大气环境</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本项目厂界外500米范围内大气环境保护目标执行《环境空气质量标准》（GB3095-2012）二级标准。</w:t>
            </w:r>
          </w:p>
          <w:p>
            <w:pPr>
              <w:tabs>
                <w:tab w:val="left" w:pos="2370"/>
                <w:tab w:val="center" w:pos="4535"/>
              </w:tabs>
              <w:adjustRightInd w:val="0"/>
              <w:snapToGrid w:val="0"/>
              <w:ind w:firstLine="480" w:firstLineChars="200"/>
              <w:rPr>
                <w:rFonts w:eastAsia="宋体"/>
              </w:rPr>
            </w:pPr>
            <w:r>
              <w:rPr>
                <w:rFonts w:eastAsia="宋体"/>
              </w:rPr>
              <w:t>2、声环境</w:t>
            </w:r>
          </w:p>
          <w:p>
            <w:pPr>
              <w:tabs>
                <w:tab w:val="left" w:pos="2370"/>
                <w:tab w:val="center" w:pos="4535"/>
              </w:tabs>
              <w:adjustRightInd w:val="0"/>
              <w:snapToGrid w:val="0"/>
              <w:ind w:firstLine="480" w:firstLineChars="200"/>
              <w:rPr>
                <w:rFonts w:eastAsia="宋体"/>
              </w:rPr>
            </w:pPr>
            <w:r>
              <w:rPr>
                <w:rFonts w:eastAsia="宋体"/>
              </w:rPr>
              <w:t>本项目厂界外50m范围</w:t>
            </w:r>
            <w:r>
              <w:rPr>
                <w:rFonts w:hint="eastAsia" w:eastAsia="宋体"/>
              </w:rPr>
              <w:t>内</w:t>
            </w:r>
            <w:r>
              <w:rPr>
                <w:rFonts w:eastAsia="宋体"/>
              </w:rPr>
              <w:t>声环境保护目标</w:t>
            </w:r>
            <w:r>
              <w:rPr>
                <w:rFonts w:hint="eastAsia" w:eastAsia="宋体"/>
              </w:rPr>
              <w:t>，执行《声环境质量标准》（</w:t>
            </w:r>
            <w:r>
              <w:rPr>
                <w:rFonts w:eastAsia="宋体"/>
              </w:rPr>
              <w:t>GB3096-2008</w:t>
            </w:r>
            <w:r>
              <w:rPr>
                <w:rFonts w:hint="eastAsia" w:eastAsia="宋体"/>
              </w:rPr>
              <w:t>）中2类区标准</w:t>
            </w:r>
            <w:r>
              <w:rPr>
                <w:rFonts w:eastAsia="宋体"/>
              </w:rPr>
              <w:t>。</w:t>
            </w:r>
          </w:p>
          <w:p>
            <w:pPr>
              <w:tabs>
                <w:tab w:val="left" w:pos="2370"/>
                <w:tab w:val="center" w:pos="4535"/>
              </w:tabs>
              <w:adjustRightInd w:val="0"/>
              <w:snapToGrid w:val="0"/>
              <w:ind w:firstLine="480" w:firstLineChars="200"/>
              <w:rPr>
                <w:rFonts w:eastAsia="宋体"/>
              </w:rPr>
            </w:pPr>
            <w:r>
              <w:rPr>
                <w:rFonts w:eastAsia="宋体"/>
              </w:rPr>
              <w:t>3、</w:t>
            </w:r>
            <w:r>
              <w:rPr>
                <w:rFonts w:hint="eastAsia" w:eastAsia="宋体"/>
              </w:rPr>
              <w:t>土壤及</w:t>
            </w:r>
            <w:r>
              <w:rPr>
                <w:rFonts w:eastAsia="宋体"/>
              </w:rPr>
              <w:t>地下水环境</w:t>
            </w:r>
          </w:p>
          <w:p>
            <w:pPr>
              <w:tabs>
                <w:tab w:val="left" w:pos="2370"/>
                <w:tab w:val="center" w:pos="4535"/>
              </w:tabs>
              <w:adjustRightInd w:val="0"/>
              <w:snapToGrid w:val="0"/>
              <w:ind w:firstLine="480" w:firstLineChars="200"/>
              <w:rPr>
                <w:rFonts w:eastAsia="宋体"/>
              </w:rPr>
            </w:pPr>
            <w:r>
              <w:rPr>
                <w:rFonts w:eastAsia="宋体"/>
              </w:rPr>
              <w:t>本项目厂界外500m范围内均不存在地下水集中式饮用水水源和热水、矿泉水、温泉等特殊地下水资源。</w:t>
            </w:r>
            <w:r>
              <w:rPr>
                <w:rFonts w:hint="eastAsia" w:eastAsia="宋体"/>
              </w:rPr>
              <w:t>本项目厂界外500m范围内无永久农田，不存在土壤环境保护目标。</w:t>
            </w:r>
          </w:p>
          <w:p>
            <w:pPr>
              <w:tabs>
                <w:tab w:val="left" w:pos="2370"/>
                <w:tab w:val="center" w:pos="4535"/>
              </w:tabs>
              <w:adjustRightInd w:val="0"/>
              <w:snapToGrid w:val="0"/>
              <w:ind w:firstLine="480" w:firstLineChars="200"/>
              <w:rPr>
                <w:rFonts w:eastAsia="宋体"/>
              </w:rPr>
            </w:pPr>
            <w:r>
              <w:rPr>
                <w:rFonts w:eastAsia="宋体"/>
              </w:rPr>
              <w:t>4、生态环境</w:t>
            </w:r>
          </w:p>
          <w:p>
            <w:pPr>
              <w:tabs>
                <w:tab w:val="left" w:pos="2370"/>
                <w:tab w:val="center" w:pos="4535"/>
              </w:tabs>
              <w:adjustRightInd w:val="0"/>
              <w:snapToGrid w:val="0"/>
              <w:ind w:firstLine="480" w:firstLineChars="200"/>
              <w:rPr>
                <w:rFonts w:eastAsia="宋体"/>
              </w:rPr>
            </w:pPr>
            <w:r>
              <w:rPr>
                <w:rFonts w:hint="eastAsia" w:eastAsia="宋体"/>
              </w:rPr>
              <w:t>本项目用地范围内无生态环境保护目标</w:t>
            </w:r>
            <w:r>
              <w:rPr>
                <w:rFonts w:eastAsia="宋体"/>
              </w:rPr>
              <w:t>。</w:t>
            </w:r>
          </w:p>
          <w:p>
            <w:pPr>
              <w:tabs>
                <w:tab w:val="left" w:pos="2370"/>
                <w:tab w:val="center" w:pos="4535"/>
              </w:tabs>
              <w:adjustRightInd w:val="0"/>
              <w:snapToGrid w:val="0"/>
              <w:ind w:firstLine="480" w:firstLineChars="200"/>
              <w:rPr>
                <w:rFonts w:eastAsia="宋体"/>
              </w:rPr>
            </w:pPr>
            <w:r>
              <w:rPr>
                <w:rFonts w:hint="eastAsia" w:eastAsia="宋体"/>
              </w:rPr>
              <w:t>本项目主要环境保护目标见表3</w:t>
            </w:r>
            <w:r>
              <w:rPr>
                <w:rFonts w:eastAsia="宋体"/>
              </w:rPr>
              <w:t>-</w:t>
            </w:r>
            <w:r>
              <w:rPr>
                <w:rFonts w:hint="eastAsia" w:eastAsia="宋体"/>
              </w:rPr>
              <w:t>3及附图6。</w:t>
            </w:r>
          </w:p>
          <w:p>
            <w:pPr>
              <w:adjustRightInd w:val="0"/>
              <w:snapToGrid w:val="0"/>
              <w:jc w:val="center"/>
              <w:rPr>
                <w:rFonts w:hAnsi="宋体" w:eastAsia="宋体"/>
                <w:b/>
                <w:kern w:val="0"/>
                <w:sz w:val="21"/>
                <w:szCs w:val="21"/>
              </w:rPr>
            </w:pPr>
            <w:r>
              <w:rPr>
                <w:rFonts w:hint="eastAsia" w:hAnsi="宋体" w:eastAsia="宋体"/>
                <w:b/>
                <w:kern w:val="0"/>
                <w:sz w:val="21"/>
                <w:szCs w:val="21"/>
              </w:rPr>
              <w:t>表3</w:t>
            </w:r>
            <w:r>
              <w:rPr>
                <w:rFonts w:hAnsi="宋体" w:eastAsia="宋体"/>
                <w:b/>
                <w:kern w:val="0"/>
                <w:sz w:val="21"/>
                <w:szCs w:val="21"/>
              </w:rPr>
              <w:t xml:space="preserve">-4  </w:t>
            </w:r>
            <w:r>
              <w:rPr>
                <w:rFonts w:hint="eastAsia" w:hAnsi="宋体" w:eastAsia="宋体"/>
                <w:b/>
                <w:kern w:val="0"/>
                <w:sz w:val="21"/>
                <w:szCs w:val="21"/>
              </w:rPr>
              <w:t>本项目主要环境</w:t>
            </w:r>
            <w:r>
              <w:rPr>
                <w:rFonts w:hAnsi="宋体" w:eastAsia="宋体"/>
                <w:b/>
                <w:kern w:val="0"/>
                <w:sz w:val="21"/>
                <w:szCs w:val="21"/>
              </w:rPr>
              <w:t>保护目标一览表</w:t>
            </w:r>
          </w:p>
          <w:tbl>
            <w:tblPr>
              <w:tblStyle w:val="31"/>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51"/>
              <w:gridCol w:w="783"/>
              <w:gridCol w:w="1220"/>
              <w:gridCol w:w="1115"/>
              <w:gridCol w:w="598"/>
              <w:gridCol w:w="799"/>
              <w:gridCol w:w="678"/>
              <w:gridCol w:w="737"/>
              <w:gridCol w:w="73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2" w:hRule="atLeast"/>
                <w:jc w:val="center"/>
              </w:trPr>
              <w:tc>
                <w:tcPr>
                  <w:tcW w:w="852" w:type="dxa"/>
                  <w:vMerge w:val="restart"/>
                  <w:vAlign w:val="center"/>
                </w:tcPr>
                <w:p>
                  <w:pPr>
                    <w:pStyle w:val="48"/>
                    <w:rPr>
                      <w:b/>
                      <w:bCs/>
                      <w:szCs w:val="21"/>
                    </w:rPr>
                  </w:pPr>
                  <w:r>
                    <w:rPr>
                      <w:b/>
                      <w:bCs/>
                      <w:szCs w:val="21"/>
                    </w:rPr>
                    <w:t>保护类别</w:t>
                  </w:r>
                </w:p>
              </w:tc>
              <w:tc>
                <w:tcPr>
                  <w:tcW w:w="783" w:type="dxa"/>
                  <w:vMerge w:val="restart"/>
                  <w:tcMar>
                    <w:left w:w="0" w:type="dxa"/>
                    <w:right w:w="0" w:type="dxa"/>
                  </w:tcMar>
                  <w:vAlign w:val="center"/>
                </w:tcPr>
                <w:p>
                  <w:pPr>
                    <w:pStyle w:val="48"/>
                    <w:rPr>
                      <w:b/>
                      <w:bCs/>
                      <w:szCs w:val="21"/>
                    </w:rPr>
                  </w:pPr>
                  <w:r>
                    <w:rPr>
                      <w:b/>
                      <w:bCs/>
                      <w:szCs w:val="21"/>
                    </w:rPr>
                    <w:t>名称</w:t>
                  </w:r>
                </w:p>
              </w:tc>
              <w:tc>
                <w:tcPr>
                  <w:tcW w:w="2333" w:type="dxa"/>
                  <w:gridSpan w:val="2"/>
                  <w:tcMar>
                    <w:left w:w="0" w:type="dxa"/>
                    <w:right w:w="0" w:type="dxa"/>
                  </w:tcMar>
                  <w:vAlign w:val="center"/>
                </w:tcPr>
                <w:p>
                  <w:pPr>
                    <w:pStyle w:val="48"/>
                    <w:rPr>
                      <w:b/>
                      <w:bCs/>
                      <w:szCs w:val="21"/>
                    </w:rPr>
                  </w:pPr>
                  <w:r>
                    <w:rPr>
                      <w:b/>
                      <w:bCs/>
                      <w:szCs w:val="21"/>
                    </w:rPr>
                    <w:t>坐标</w:t>
                  </w:r>
                  <w:r>
                    <w:rPr>
                      <w:rFonts w:hint="eastAsia"/>
                      <w:b/>
                      <w:bCs/>
                      <w:szCs w:val="21"/>
                    </w:rPr>
                    <w:t>（5</w:t>
                  </w:r>
                  <w:r>
                    <w:rPr>
                      <w:b/>
                      <w:bCs/>
                      <w:szCs w:val="21"/>
                    </w:rPr>
                    <w:t>1R</w:t>
                  </w:r>
                  <w:r>
                    <w:rPr>
                      <w:rFonts w:hint="eastAsia"/>
                      <w:b/>
                      <w:bCs/>
                      <w:szCs w:val="21"/>
                    </w:rPr>
                    <w:t>）</w:t>
                  </w:r>
                </w:p>
              </w:tc>
              <w:tc>
                <w:tcPr>
                  <w:tcW w:w="598" w:type="dxa"/>
                  <w:vMerge w:val="restart"/>
                  <w:tcMar>
                    <w:left w:w="0" w:type="dxa"/>
                    <w:right w:w="0" w:type="dxa"/>
                  </w:tcMar>
                  <w:vAlign w:val="center"/>
                </w:tcPr>
                <w:p>
                  <w:pPr>
                    <w:pStyle w:val="48"/>
                    <w:rPr>
                      <w:b/>
                      <w:bCs/>
                      <w:szCs w:val="21"/>
                    </w:rPr>
                  </w:pPr>
                  <w:r>
                    <w:rPr>
                      <w:b/>
                      <w:bCs/>
                      <w:szCs w:val="21"/>
                    </w:rPr>
                    <w:t>保护对象</w:t>
                  </w:r>
                </w:p>
              </w:tc>
              <w:tc>
                <w:tcPr>
                  <w:tcW w:w="799" w:type="dxa"/>
                  <w:vMerge w:val="restart"/>
                  <w:tcMar>
                    <w:left w:w="0" w:type="dxa"/>
                    <w:right w:w="0" w:type="dxa"/>
                  </w:tcMar>
                  <w:vAlign w:val="center"/>
                </w:tcPr>
                <w:p>
                  <w:pPr>
                    <w:pStyle w:val="48"/>
                    <w:rPr>
                      <w:b/>
                      <w:bCs/>
                      <w:szCs w:val="21"/>
                    </w:rPr>
                  </w:pPr>
                  <w:r>
                    <w:rPr>
                      <w:b/>
                      <w:bCs/>
                      <w:szCs w:val="21"/>
                    </w:rPr>
                    <w:t>保护内容</w:t>
                  </w:r>
                </w:p>
              </w:tc>
              <w:tc>
                <w:tcPr>
                  <w:tcW w:w="678" w:type="dxa"/>
                  <w:vMerge w:val="restart"/>
                  <w:tcMar>
                    <w:left w:w="0" w:type="dxa"/>
                    <w:right w:w="0" w:type="dxa"/>
                  </w:tcMar>
                  <w:vAlign w:val="center"/>
                </w:tcPr>
                <w:p>
                  <w:pPr>
                    <w:pStyle w:val="48"/>
                    <w:rPr>
                      <w:b/>
                      <w:bCs/>
                      <w:szCs w:val="21"/>
                    </w:rPr>
                  </w:pPr>
                  <w:r>
                    <w:rPr>
                      <w:b/>
                      <w:bCs/>
                      <w:szCs w:val="21"/>
                    </w:rPr>
                    <w:t>环境功能区</w:t>
                  </w:r>
                </w:p>
              </w:tc>
              <w:tc>
                <w:tcPr>
                  <w:tcW w:w="737" w:type="dxa"/>
                  <w:vMerge w:val="restart"/>
                  <w:tcMar>
                    <w:left w:w="0" w:type="dxa"/>
                    <w:right w:w="0" w:type="dxa"/>
                  </w:tcMar>
                  <w:vAlign w:val="center"/>
                </w:tcPr>
                <w:p>
                  <w:pPr>
                    <w:pStyle w:val="48"/>
                    <w:rPr>
                      <w:b/>
                      <w:bCs/>
                      <w:szCs w:val="21"/>
                    </w:rPr>
                  </w:pPr>
                  <w:r>
                    <w:rPr>
                      <w:b/>
                      <w:bCs/>
                      <w:szCs w:val="21"/>
                    </w:rPr>
                    <w:t>相对厂址方位</w:t>
                  </w:r>
                </w:p>
              </w:tc>
              <w:tc>
                <w:tcPr>
                  <w:tcW w:w="732" w:type="dxa"/>
                  <w:vMerge w:val="restart"/>
                  <w:tcMar>
                    <w:left w:w="0" w:type="dxa"/>
                    <w:right w:w="0" w:type="dxa"/>
                  </w:tcMar>
                  <w:vAlign w:val="center"/>
                </w:tcPr>
                <w:p>
                  <w:pPr>
                    <w:pStyle w:val="48"/>
                    <w:rPr>
                      <w:b/>
                      <w:bCs/>
                      <w:szCs w:val="21"/>
                    </w:rPr>
                  </w:pPr>
                  <w:r>
                    <w:rPr>
                      <w:b/>
                      <w:bCs/>
                      <w:szCs w:val="21"/>
                    </w:rPr>
                    <w:t>相对厂界距离/m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2" w:hRule="atLeast"/>
                <w:jc w:val="center"/>
              </w:trPr>
              <w:tc>
                <w:tcPr>
                  <w:tcW w:w="852" w:type="dxa"/>
                  <w:vMerge w:val="continue"/>
                  <w:vAlign w:val="center"/>
                </w:tcPr>
                <w:p>
                  <w:pPr>
                    <w:pStyle w:val="48"/>
                    <w:rPr>
                      <w:kern w:val="0"/>
                      <w:szCs w:val="21"/>
                    </w:rPr>
                  </w:pPr>
                </w:p>
              </w:tc>
              <w:tc>
                <w:tcPr>
                  <w:tcW w:w="783" w:type="dxa"/>
                  <w:vMerge w:val="continue"/>
                  <w:tcMar>
                    <w:left w:w="0" w:type="dxa"/>
                    <w:right w:w="0" w:type="dxa"/>
                  </w:tcMar>
                  <w:vAlign w:val="center"/>
                </w:tcPr>
                <w:p>
                  <w:pPr>
                    <w:pStyle w:val="48"/>
                    <w:rPr>
                      <w:kern w:val="0"/>
                      <w:szCs w:val="21"/>
                    </w:rPr>
                  </w:pPr>
                </w:p>
              </w:tc>
              <w:tc>
                <w:tcPr>
                  <w:tcW w:w="1219" w:type="dxa"/>
                  <w:tcMar>
                    <w:left w:w="0" w:type="dxa"/>
                    <w:right w:w="0" w:type="dxa"/>
                  </w:tcMar>
                  <w:vAlign w:val="center"/>
                </w:tcPr>
                <w:p>
                  <w:pPr>
                    <w:pStyle w:val="48"/>
                    <w:rPr>
                      <w:bCs/>
                      <w:kern w:val="0"/>
                      <w:szCs w:val="21"/>
                    </w:rPr>
                  </w:pPr>
                  <w:r>
                    <w:rPr>
                      <w:rFonts w:hint="eastAsia"/>
                      <w:bCs/>
                      <w:kern w:val="0"/>
                      <w:szCs w:val="21"/>
                    </w:rPr>
                    <w:t>经度</w:t>
                  </w:r>
                </w:p>
              </w:tc>
              <w:tc>
                <w:tcPr>
                  <w:tcW w:w="1114" w:type="dxa"/>
                  <w:tcMar>
                    <w:left w:w="0" w:type="dxa"/>
                    <w:right w:w="0" w:type="dxa"/>
                  </w:tcMar>
                  <w:vAlign w:val="center"/>
                </w:tcPr>
                <w:p>
                  <w:pPr>
                    <w:pStyle w:val="48"/>
                    <w:rPr>
                      <w:bCs/>
                      <w:kern w:val="0"/>
                      <w:szCs w:val="21"/>
                    </w:rPr>
                  </w:pPr>
                  <w:r>
                    <w:rPr>
                      <w:rFonts w:hint="eastAsia"/>
                      <w:bCs/>
                      <w:kern w:val="0"/>
                      <w:szCs w:val="21"/>
                    </w:rPr>
                    <w:t>纬度</w:t>
                  </w:r>
                </w:p>
              </w:tc>
              <w:tc>
                <w:tcPr>
                  <w:tcW w:w="598" w:type="dxa"/>
                  <w:vMerge w:val="continue"/>
                  <w:tcMar>
                    <w:left w:w="0" w:type="dxa"/>
                    <w:right w:w="0" w:type="dxa"/>
                  </w:tcMar>
                  <w:vAlign w:val="center"/>
                </w:tcPr>
                <w:p>
                  <w:pPr>
                    <w:pStyle w:val="48"/>
                    <w:rPr>
                      <w:kern w:val="0"/>
                      <w:szCs w:val="21"/>
                    </w:rPr>
                  </w:pPr>
                </w:p>
              </w:tc>
              <w:tc>
                <w:tcPr>
                  <w:tcW w:w="799" w:type="dxa"/>
                  <w:vMerge w:val="continue"/>
                  <w:tcMar>
                    <w:left w:w="0" w:type="dxa"/>
                    <w:right w:w="0" w:type="dxa"/>
                  </w:tcMar>
                  <w:vAlign w:val="center"/>
                </w:tcPr>
                <w:p>
                  <w:pPr>
                    <w:pStyle w:val="48"/>
                    <w:rPr>
                      <w:kern w:val="0"/>
                      <w:szCs w:val="21"/>
                    </w:rPr>
                  </w:pPr>
                </w:p>
              </w:tc>
              <w:tc>
                <w:tcPr>
                  <w:tcW w:w="678" w:type="dxa"/>
                  <w:vMerge w:val="continue"/>
                  <w:tcMar>
                    <w:left w:w="0" w:type="dxa"/>
                    <w:right w:w="0" w:type="dxa"/>
                  </w:tcMar>
                  <w:vAlign w:val="center"/>
                </w:tcPr>
                <w:p>
                  <w:pPr>
                    <w:pStyle w:val="48"/>
                    <w:rPr>
                      <w:kern w:val="0"/>
                      <w:szCs w:val="21"/>
                    </w:rPr>
                  </w:pPr>
                </w:p>
              </w:tc>
              <w:tc>
                <w:tcPr>
                  <w:tcW w:w="737" w:type="dxa"/>
                  <w:vMerge w:val="continue"/>
                  <w:tcMar>
                    <w:left w:w="0" w:type="dxa"/>
                    <w:right w:w="0" w:type="dxa"/>
                  </w:tcMar>
                  <w:vAlign w:val="center"/>
                </w:tcPr>
                <w:p>
                  <w:pPr>
                    <w:pStyle w:val="48"/>
                    <w:rPr>
                      <w:kern w:val="0"/>
                      <w:szCs w:val="21"/>
                    </w:rPr>
                  </w:pPr>
                </w:p>
              </w:tc>
              <w:tc>
                <w:tcPr>
                  <w:tcW w:w="732" w:type="dxa"/>
                  <w:vMerge w:val="continue"/>
                  <w:tcMar>
                    <w:left w:w="0" w:type="dxa"/>
                    <w:right w:w="0" w:type="dxa"/>
                  </w:tcMar>
                  <w:vAlign w:val="center"/>
                </w:tcPr>
                <w:p>
                  <w:pPr>
                    <w:pStyle w:val="48"/>
                    <w:rPr>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2" w:hRule="atLeast"/>
                <w:jc w:val="center"/>
              </w:trPr>
              <w:tc>
                <w:tcPr>
                  <w:tcW w:w="852" w:type="dxa"/>
                  <w:vMerge w:val="restart"/>
                  <w:vAlign w:val="center"/>
                </w:tcPr>
                <w:p>
                  <w:pPr>
                    <w:pStyle w:val="48"/>
                    <w:rPr>
                      <w:szCs w:val="21"/>
                    </w:rPr>
                  </w:pPr>
                  <w:r>
                    <w:rPr>
                      <w:rFonts w:hint="eastAsia"/>
                      <w:szCs w:val="21"/>
                    </w:rPr>
                    <w:t>环境空气</w:t>
                  </w:r>
                </w:p>
              </w:tc>
              <w:tc>
                <w:tcPr>
                  <w:tcW w:w="783" w:type="dxa"/>
                  <w:tcMar>
                    <w:left w:w="0" w:type="dxa"/>
                    <w:right w:w="0" w:type="dxa"/>
                  </w:tcMar>
                  <w:vAlign w:val="center"/>
                </w:tcPr>
                <w:p>
                  <w:pPr>
                    <w:snapToGrid w:val="0"/>
                    <w:spacing w:line="240" w:lineRule="auto"/>
                    <w:jc w:val="center"/>
                    <w:rPr>
                      <w:rFonts w:eastAsia="宋体"/>
                      <w:kern w:val="0"/>
                      <w:sz w:val="21"/>
                      <w:szCs w:val="21"/>
                    </w:rPr>
                  </w:pPr>
                  <w:r>
                    <w:rPr>
                      <w:rFonts w:hint="eastAsia" w:eastAsia="宋体"/>
                      <w:sz w:val="21"/>
                      <w:szCs w:val="21"/>
                    </w:rPr>
                    <w:t>临平区南苑幼儿园</w:t>
                  </w:r>
                </w:p>
              </w:tc>
              <w:tc>
                <w:tcPr>
                  <w:tcW w:w="1219" w:type="dxa"/>
                  <w:tcMar>
                    <w:left w:w="0" w:type="dxa"/>
                    <w:right w:w="0" w:type="dxa"/>
                  </w:tcMar>
                  <w:vAlign w:val="center"/>
                </w:tcPr>
                <w:p>
                  <w:pPr>
                    <w:tabs>
                      <w:tab w:val="left" w:pos="0"/>
                      <w:tab w:val="left" w:pos="870"/>
                      <w:tab w:val="left" w:pos="3150"/>
                    </w:tabs>
                    <w:autoSpaceDE w:val="0"/>
                    <w:autoSpaceDN w:val="0"/>
                    <w:spacing w:line="240" w:lineRule="auto"/>
                    <w:jc w:val="center"/>
                    <w:rPr>
                      <w:rFonts w:eastAsia="宋体"/>
                      <w:kern w:val="0"/>
                      <w:sz w:val="21"/>
                      <w:szCs w:val="21"/>
                    </w:rPr>
                  </w:pPr>
                  <w:r>
                    <w:rPr>
                      <w:rFonts w:eastAsia="宋体"/>
                      <w:sz w:val="21"/>
                      <w:szCs w:val="21"/>
                    </w:rPr>
                    <w:t>12</w:t>
                  </w:r>
                  <w:r>
                    <w:rPr>
                      <w:rFonts w:hint="eastAsia" w:eastAsia="宋体"/>
                      <w:sz w:val="21"/>
                      <w:szCs w:val="21"/>
                    </w:rPr>
                    <w:t>0</w:t>
                  </w:r>
                  <w:r>
                    <w:rPr>
                      <w:rFonts w:eastAsia="宋体"/>
                      <w:sz w:val="21"/>
                      <w:szCs w:val="21"/>
                    </w:rPr>
                    <w:t>°</w:t>
                  </w:r>
                  <w:r>
                    <w:rPr>
                      <w:rFonts w:hint="eastAsia" w:eastAsia="宋体"/>
                      <w:sz w:val="21"/>
                      <w:szCs w:val="21"/>
                    </w:rPr>
                    <w:t>18</w:t>
                  </w:r>
                  <w:r>
                    <w:rPr>
                      <w:rFonts w:eastAsia="宋体"/>
                      <w:sz w:val="21"/>
                      <w:szCs w:val="21"/>
                    </w:rPr>
                    <w:t>′</w:t>
                  </w:r>
                  <w:r>
                    <w:rPr>
                      <w:rFonts w:hint="eastAsia" w:eastAsia="宋体"/>
                      <w:sz w:val="21"/>
                      <w:szCs w:val="21"/>
                    </w:rPr>
                    <w:t>9.94</w:t>
                  </w:r>
                  <w:r>
                    <w:rPr>
                      <w:rFonts w:eastAsia="宋体"/>
                      <w:sz w:val="21"/>
                      <w:szCs w:val="21"/>
                    </w:rPr>
                    <w:t>"</w:t>
                  </w:r>
                </w:p>
              </w:tc>
              <w:tc>
                <w:tcPr>
                  <w:tcW w:w="1114" w:type="dxa"/>
                  <w:tcMar>
                    <w:left w:w="0" w:type="dxa"/>
                    <w:right w:w="0" w:type="dxa"/>
                  </w:tcMar>
                  <w:vAlign w:val="center"/>
                </w:tcPr>
                <w:p>
                  <w:pPr>
                    <w:tabs>
                      <w:tab w:val="left" w:pos="0"/>
                      <w:tab w:val="left" w:pos="870"/>
                      <w:tab w:val="left" w:pos="3150"/>
                    </w:tabs>
                    <w:autoSpaceDE w:val="0"/>
                    <w:autoSpaceDN w:val="0"/>
                    <w:spacing w:line="240" w:lineRule="auto"/>
                    <w:jc w:val="center"/>
                    <w:rPr>
                      <w:rFonts w:eastAsia="宋体"/>
                      <w:kern w:val="0"/>
                      <w:sz w:val="21"/>
                      <w:szCs w:val="21"/>
                    </w:rPr>
                  </w:pPr>
                  <w:r>
                    <w:rPr>
                      <w:rFonts w:hint="eastAsia" w:eastAsia="宋体"/>
                      <w:sz w:val="21"/>
                      <w:szCs w:val="21"/>
                    </w:rPr>
                    <w:t>30</w:t>
                  </w:r>
                  <w:r>
                    <w:rPr>
                      <w:rFonts w:eastAsia="宋体"/>
                      <w:sz w:val="21"/>
                      <w:szCs w:val="21"/>
                    </w:rPr>
                    <w:t>°</w:t>
                  </w:r>
                  <w:r>
                    <w:rPr>
                      <w:rFonts w:hint="eastAsia" w:eastAsia="宋体"/>
                      <w:sz w:val="21"/>
                      <w:szCs w:val="21"/>
                    </w:rPr>
                    <w:t>22</w:t>
                  </w:r>
                  <w:r>
                    <w:rPr>
                      <w:rFonts w:eastAsia="宋体"/>
                      <w:sz w:val="21"/>
                      <w:szCs w:val="21"/>
                    </w:rPr>
                    <w:t>′</w:t>
                  </w:r>
                  <w:r>
                    <w:rPr>
                      <w:rFonts w:hint="eastAsia" w:eastAsia="宋体"/>
                      <w:sz w:val="21"/>
                      <w:szCs w:val="21"/>
                    </w:rPr>
                    <w:t>59.90</w:t>
                  </w:r>
                  <w:r>
                    <w:rPr>
                      <w:rFonts w:eastAsia="宋体"/>
                      <w:sz w:val="21"/>
                      <w:szCs w:val="21"/>
                    </w:rPr>
                    <w:t>"</w:t>
                  </w:r>
                </w:p>
              </w:tc>
              <w:tc>
                <w:tcPr>
                  <w:tcW w:w="598" w:type="dxa"/>
                  <w:tcMar>
                    <w:left w:w="0" w:type="dxa"/>
                    <w:right w:w="0" w:type="dxa"/>
                  </w:tcMar>
                  <w:vAlign w:val="center"/>
                </w:tcPr>
                <w:p>
                  <w:pPr>
                    <w:tabs>
                      <w:tab w:val="left" w:pos="0"/>
                      <w:tab w:val="left" w:pos="870"/>
                      <w:tab w:val="left" w:pos="3150"/>
                    </w:tabs>
                    <w:autoSpaceDE w:val="0"/>
                    <w:autoSpaceDN w:val="0"/>
                    <w:spacing w:line="240" w:lineRule="auto"/>
                    <w:jc w:val="center"/>
                    <w:rPr>
                      <w:rFonts w:eastAsia="宋体"/>
                      <w:kern w:val="0"/>
                      <w:sz w:val="21"/>
                      <w:szCs w:val="21"/>
                    </w:rPr>
                  </w:pPr>
                  <w:r>
                    <w:rPr>
                      <w:rFonts w:hint="eastAsia" w:eastAsia="宋体"/>
                      <w:kern w:val="0"/>
                      <w:sz w:val="21"/>
                      <w:szCs w:val="21"/>
                    </w:rPr>
                    <w:t>约500人</w:t>
                  </w:r>
                </w:p>
              </w:tc>
              <w:tc>
                <w:tcPr>
                  <w:tcW w:w="799" w:type="dxa"/>
                  <w:tcMar>
                    <w:left w:w="0" w:type="dxa"/>
                    <w:right w:w="0" w:type="dxa"/>
                  </w:tcMar>
                  <w:vAlign w:val="center"/>
                </w:tcPr>
                <w:p>
                  <w:pPr>
                    <w:tabs>
                      <w:tab w:val="left" w:pos="0"/>
                      <w:tab w:val="left" w:pos="870"/>
                      <w:tab w:val="left" w:pos="3150"/>
                    </w:tabs>
                    <w:autoSpaceDE w:val="0"/>
                    <w:autoSpaceDN w:val="0"/>
                    <w:spacing w:line="240" w:lineRule="auto"/>
                    <w:jc w:val="center"/>
                    <w:rPr>
                      <w:rFonts w:eastAsia="宋体"/>
                      <w:kern w:val="0"/>
                      <w:sz w:val="21"/>
                      <w:szCs w:val="21"/>
                    </w:rPr>
                  </w:pPr>
                  <w:r>
                    <w:rPr>
                      <w:rFonts w:hint="eastAsia" w:eastAsia="宋体"/>
                      <w:kern w:val="0"/>
                      <w:sz w:val="21"/>
                      <w:szCs w:val="21"/>
                    </w:rPr>
                    <w:t>师生</w:t>
                  </w:r>
                </w:p>
              </w:tc>
              <w:tc>
                <w:tcPr>
                  <w:tcW w:w="678" w:type="dxa"/>
                  <w:vMerge w:val="restart"/>
                  <w:tcMar>
                    <w:left w:w="0" w:type="dxa"/>
                    <w:right w:w="0" w:type="dxa"/>
                  </w:tcMar>
                  <w:vAlign w:val="center"/>
                </w:tcPr>
                <w:p>
                  <w:pPr>
                    <w:tabs>
                      <w:tab w:val="left" w:pos="0"/>
                      <w:tab w:val="left" w:pos="870"/>
                      <w:tab w:val="left" w:pos="3150"/>
                    </w:tabs>
                    <w:autoSpaceDE w:val="0"/>
                    <w:autoSpaceDN w:val="0"/>
                    <w:spacing w:line="240" w:lineRule="auto"/>
                    <w:jc w:val="center"/>
                    <w:rPr>
                      <w:rFonts w:eastAsia="宋体"/>
                      <w:kern w:val="0"/>
                      <w:sz w:val="21"/>
                      <w:szCs w:val="21"/>
                    </w:rPr>
                  </w:pPr>
                  <w:r>
                    <w:rPr>
                      <w:rFonts w:hint="eastAsia" w:eastAsia="宋体"/>
                      <w:kern w:val="0"/>
                      <w:sz w:val="21"/>
                      <w:szCs w:val="21"/>
                    </w:rPr>
                    <w:t>环境空气</w:t>
                  </w:r>
                  <w:r>
                    <w:rPr>
                      <w:rFonts w:eastAsia="宋体"/>
                      <w:kern w:val="0"/>
                      <w:sz w:val="21"/>
                      <w:szCs w:val="21"/>
                    </w:rPr>
                    <w:t>二级</w:t>
                  </w:r>
                </w:p>
                <w:p>
                  <w:pPr>
                    <w:tabs>
                      <w:tab w:val="left" w:pos="0"/>
                      <w:tab w:val="left" w:pos="870"/>
                      <w:tab w:val="left" w:pos="3150"/>
                    </w:tabs>
                    <w:autoSpaceDE w:val="0"/>
                    <w:autoSpaceDN w:val="0"/>
                    <w:spacing w:line="240" w:lineRule="auto"/>
                    <w:jc w:val="center"/>
                    <w:rPr>
                      <w:rFonts w:eastAsia="宋体"/>
                      <w:kern w:val="0"/>
                      <w:sz w:val="21"/>
                      <w:szCs w:val="21"/>
                    </w:rPr>
                  </w:pPr>
                  <w:r>
                    <w:rPr>
                      <w:rFonts w:hint="eastAsia" w:eastAsia="宋体"/>
                      <w:kern w:val="0"/>
                      <w:sz w:val="21"/>
                      <w:szCs w:val="21"/>
                    </w:rPr>
                    <w:t>环境空气</w:t>
                  </w:r>
                  <w:r>
                    <w:rPr>
                      <w:rFonts w:eastAsia="宋体"/>
                      <w:kern w:val="0"/>
                      <w:sz w:val="21"/>
                      <w:szCs w:val="21"/>
                    </w:rPr>
                    <w:t>二级</w:t>
                  </w:r>
                </w:p>
              </w:tc>
              <w:tc>
                <w:tcPr>
                  <w:tcW w:w="737" w:type="dxa"/>
                  <w:tcMar>
                    <w:left w:w="0" w:type="dxa"/>
                    <w:right w:w="0" w:type="dxa"/>
                  </w:tcMar>
                  <w:vAlign w:val="center"/>
                </w:tcPr>
                <w:p>
                  <w:pPr>
                    <w:tabs>
                      <w:tab w:val="left" w:pos="0"/>
                      <w:tab w:val="left" w:pos="870"/>
                      <w:tab w:val="left" w:pos="3150"/>
                    </w:tabs>
                    <w:autoSpaceDE w:val="0"/>
                    <w:autoSpaceDN w:val="0"/>
                    <w:spacing w:line="240" w:lineRule="auto"/>
                    <w:jc w:val="center"/>
                    <w:rPr>
                      <w:rFonts w:eastAsia="宋体"/>
                      <w:kern w:val="0"/>
                      <w:sz w:val="21"/>
                      <w:szCs w:val="21"/>
                    </w:rPr>
                  </w:pPr>
                  <w:r>
                    <w:rPr>
                      <w:rFonts w:hint="eastAsia" w:eastAsia="宋体"/>
                      <w:kern w:val="0"/>
                      <w:sz w:val="21"/>
                      <w:szCs w:val="21"/>
                    </w:rPr>
                    <w:t>E</w:t>
                  </w:r>
                </w:p>
              </w:tc>
              <w:tc>
                <w:tcPr>
                  <w:tcW w:w="732" w:type="dxa"/>
                  <w:tcMar>
                    <w:left w:w="0" w:type="dxa"/>
                    <w:right w:w="0" w:type="dxa"/>
                  </w:tcMar>
                  <w:vAlign w:val="center"/>
                </w:tcPr>
                <w:p>
                  <w:pPr>
                    <w:adjustRightInd w:val="0"/>
                    <w:snapToGrid w:val="0"/>
                    <w:spacing w:line="240" w:lineRule="auto"/>
                    <w:jc w:val="center"/>
                    <w:rPr>
                      <w:rFonts w:eastAsia="宋体"/>
                      <w:kern w:val="0"/>
                      <w:sz w:val="21"/>
                      <w:szCs w:val="21"/>
                    </w:rPr>
                  </w:pPr>
                  <w:r>
                    <w:rPr>
                      <w:rFonts w:eastAsia="宋体"/>
                      <w:sz w:val="21"/>
                      <w:szCs w:val="21"/>
                    </w:rPr>
                    <w:t>~</w:t>
                  </w:r>
                  <w:r>
                    <w:rPr>
                      <w:rFonts w:hint="eastAsia" w:eastAsia="宋体"/>
                      <w:sz w:val="21"/>
                      <w:szCs w:val="21"/>
                    </w:rPr>
                    <w:t>3</w:t>
                  </w:r>
                  <w:r>
                    <w:rPr>
                      <w:rFonts w:eastAsia="宋体"/>
                      <w:sz w:val="21"/>
                      <w:szCs w:val="21"/>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2" w:hRule="atLeast"/>
                <w:jc w:val="center"/>
              </w:trPr>
              <w:tc>
                <w:tcPr>
                  <w:tcW w:w="852" w:type="dxa"/>
                  <w:vMerge w:val="continue"/>
                  <w:vAlign w:val="center"/>
                </w:tcPr>
                <w:p>
                  <w:pPr>
                    <w:pStyle w:val="48"/>
                    <w:rPr>
                      <w:szCs w:val="21"/>
                    </w:rPr>
                  </w:pPr>
                </w:p>
              </w:tc>
              <w:tc>
                <w:tcPr>
                  <w:tcW w:w="783" w:type="dxa"/>
                  <w:tcMar>
                    <w:left w:w="0" w:type="dxa"/>
                    <w:right w:w="0" w:type="dxa"/>
                  </w:tcMar>
                  <w:vAlign w:val="center"/>
                </w:tcPr>
                <w:p>
                  <w:pPr>
                    <w:pStyle w:val="48"/>
                    <w:rPr>
                      <w:szCs w:val="21"/>
                    </w:rPr>
                  </w:pPr>
                  <w:r>
                    <w:rPr>
                      <w:rFonts w:hint="eastAsia"/>
                      <w:szCs w:val="21"/>
                    </w:rPr>
                    <w:t>联胜新府</w:t>
                  </w:r>
                </w:p>
              </w:tc>
              <w:tc>
                <w:tcPr>
                  <w:tcW w:w="1219" w:type="dxa"/>
                  <w:tcMar>
                    <w:left w:w="0" w:type="dxa"/>
                    <w:right w:w="0" w:type="dxa"/>
                  </w:tcMar>
                  <w:vAlign w:val="center"/>
                </w:tcPr>
                <w:p>
                  <w:pPr>
                    <w:pStyle w:val="48"/>
                    <w:rPr>
                      <w:kern w:val="0"/>
                      <w:szCs w:val="21"/>
                    </w:rPr>
                  </w:pPr>
                  <w:r>
                    <w:rPr>
                      <w:szCs w:val="21"/>
                    </w:rPr>
                    <w:t>12</w:t>
                  </w:r>
                  <w:r>
                    <w:rPr>
                      <w:rFonts w:hint="eastAsia"/>
                      <w:szCs w:val="21"/>
                    </w:rPr>
                    <w:t>0</w:t>
                  </w:r>
                  <w:r>
                    <w:rPr>
                      <w:szCs w:val="21"/>
                    </w:rPr>
                    <w:t>°</w:t>
                  </w:r>
                  <w:r>
                    <w:rPr>
                      <w:rFonts w:hint="eastAsia"/>
                      <w:szCs w:val="21"/>
                    </w:rPr>
                    <w:t>18</w:t>
                  </w:r>
                  <w:r>
                    <w:rPr>
                      <w:szCs w:val="21"/>
                    </w:rPr>
                    <w:t>′</w:t>
                  </w:r>
                  <w:r>
                    <w:rPr>
                      <w:rFonts w:hint="eastAsia"/>
                      <w:szCs w:val="21"/>
                    </w:rPr>
                    <w:t>15.09</w:t>
                  </w:r>
                  <w:r>
                    <w:rPr>
                      <w:szCs w:val="21"/>
                    </w:rPr>
                    <w:t>"</w:t>
                  </w:r>
                </w:p>
              </w:tc>
              <w:tc>
                <w:tcPr>
                  <w:tcW w:w="1114" w:type="dxa"/>
                  <w:tcMar>
                    <w:left w:w="0" w:type="dxa"/>
                    <w:right w:w="0" w:type="dxa"/>
                  </w:tcMar>
                  <w:vAlign w:val="center"/>
                </w:tcPr>
                <w:p>
                  <w:pPr>
                    <w:pStyle w:val="48"/>
                    <w:rPr>
                      <w:kern w:val="0"/>
                      <w:szCs w:val="21"/>
                    </w:rPr>
                  </w:pPr>
                  <w:r>
                    <w:rPr>
                      <w:rFonts w:hint="eastAsia"/>
                      <w:szCs w:val="21"/>
                    </w:rPr>
                    <w:t>30</w:t>
                  </w:r>
                  <w:r>
                    <w:rPr>
                      <w:szCs w:val="21"/>
                    </w:rPr>
                    <w:t>°</w:t>
                  </w:r>
                  <w:r>
                    <w:rPr>
                      <w:rFonts w:hint="eastAsia"/>
                      <w:szCs w:val="21"/>
                    </w:rPr>
                    <w:t>22</w:t>
                  </w:r>
                  <w:r>
                    <w:rPr>
                      <w:szCs w:val="21"/>
                    </w:rPr>
                    <w:t>′</w:t>
                  </w:r>
                  <w:r>
                    <w:rPr>
                      <w:rFonts w:hint="eastAsia"/>
                      <w:szCs w:val="21"/>
                    </w:rPr>
                    <w:t>57.29</w:t>
                  </w:r>
                  <w:r>
                    <w:rPr>
                      <w:szCs w:val="21"/>
                    </w:rPr>
                    <w:t>"</w:t>
                  </w:r>
                </w:p>
              </w:tc>
              <w:tc>
                <w:tcPr>
                  <w:tcW w:w="598" w:type="dxa"/>
                  <w:tcMar>
                    <w:left w:w="0" w:type="dxa"/>
                    <w:right w:w="0" w:type="dxa"/>
                  </w:tcMar>
                  <w:vAlign w:val="center"/>
                </w:tcPr>
                <w:p>
                  <w:pPr>
                    <w:pStyle w:val="48"/>
                    <w:rPr>
                      <w:kern w:val="0"/>
                      <w:szCs w:val="21"/>
                    </w:rPr>
                  </w:pPr>
                  <w:r>
                    <w:rPr>
                      <w:rFonts w:hint="eastAsia"/>
                      <w:kern w:val="0"/>
                      <w:szCs w:val="21"/>
                    </w:rPr>
                    <w:t>约495户</w:t>
                  </w:r>
                </w:p>
              </w:tc>
              <w:tc>
                <w:tcPr>
                  <w:tcW w:w="799" w:type="dxa"/>
                  <w:tcMar>
                    <w:left w:w="0" w:type="dxa"/>
                    <w:right w:w="0" w:type="dxa"/>
                  </w:tcMar>
                  <w:vAlign w:val="center"/>
                </w:tcPr>
                <w:p>
                  <w:pPr>
                    <w:pStyle w:val="48"/>
                    <w:rPr>
                      <w:szCs w:val="21"/>
                    </w:rPr>
                  </w:pPr>
                  <w:r>
                    <w:rPr>
                      <w:rFonts w:hint="eastAsia"/>
                      <w:kern w:val="0"/>
                      <w:szCs w:val="21"/>
                    </w:rPr>
                    <w:t>居民</w:t>
                  </w:r>
                </w:p>
              </w:tc>
              <w:tc>
                <w:tcPr>
                  <w:tcW w:w="678" w:type="dxa"/>
                  <w:vMerge w:val="continue"/>
                  <w:tcMar>
                    <w:left w:w="0" w:type="dxa"/>
                    <w:right w:w="0" w:type="dxa"/>
                  </w:tcMar>
                  <w:vAlign w:val="center"/>
                </w:tcPr>
                <w:p>
                  <w:pPr>
                    <w:pStyle w:val="48"/>
                    <w:rPr>
                      <w:szCs w:val="21"/>
                    </w:rPr>
                  </w:pPr>
                </w:p>
              </w:tc>
              <w:tc>
                <w:tcPr>
                  <w:tcW w:w="737" w:type="dxa"/>
                  <w:tcMar>
                    <w:left w:w="0" w:type="dxa"/>
                    <w:right w:w="0" w:type="dxa"/>
                  </w:tcMar>
                  <w:vAlign w:val="center"/>
                </w:tcPr>
                <w:p>
                  <w:pPr>
                    <w:pStyle w:val="48"/>
                    <w:rPr>
                      <w:szCs w:val="21"/>
                    </w:rPr>
                  </w:pPr>
                  <w:r>
                    <w:rPr>
                      <w:rFonts w:hint="eastAsia"/>
                      <w:kern w:val="0"/>
                      <w:szCs w:val="21"/>
                    </w:rPr>
                    <w:t>E</w:t>
                  </w:r>
                </w:p>
              </w:tc>
              <w:tc>
                <w:tcPr>
                  <w:tcW w:w="732" w:type="dxa"/>
                  <w:tcMar>
                    <w:left w:w="0" w:type="dxa"/>
                    <w:right w:w="0" w:type="dxa"/>
                  </w:tcMar>
                  <w:vAlign w:val="center"/>
                </w:tcPr>
                <w:p>
                  <w:pPr>
                    <w:pStyle w:val="48"/>
                    <w:rPr>
                      <w:szCs w:val="21"/>
                    </w:rPr>
                  </w:pPr>
                  <w:r>
                    <w:rPr>
                      <w:szCs w:val="21"/>
                    </w:rPr>
                    <w:t>~</w:t>
                  </w:r>
                  <w:r>
                    <w:rPr>
                      <w:rFonts w:hint="eastAsia"/>
                      <w:szCs w:val="21"/>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2" w:hRule="atLeast"/>
                <w:jc w:val="center"/>
              </w:trPr>
              <w:tc>
                <w:tcPr>
                  <w:tcW w:w="852" w:type="dxa"/>
                  <w:vAlign w:val="center"/>
                </w:tcPr>
                <w:p>
                  <w:pPr>
                    <w:pStyle w:val="48"/>
                    <w:rPr>
                      <w:szCs w:val="21"/>
                    </w:rPr>
                  </w:pPr>
                  <w:r>
                    <w:rPr>
                      <w:rFonts w:hint="eastAsia"/>
                      <w:szCs w:val="21"/>
                    </w:rPr>
                    <w:t>地表水</w:t>
                  </w:r>
                </w:p>
              </w:tc>
              <w:tc>
                <w:tcPr>
                  <w:tcW w:w="783" w:type="dxa"/>
                  <w:tcMar>
                    <w:left w:w="0" w:type="dxa"/>
                    <w:right w:w="0" w:type="dxa"/>
                  </w:tcMar>
                  <w:vAlign w:val="center"/>
                </w:tcPr>
                <w:p>
                  <w:pPr>
                    <w:pStyle w:val="48"/>
                    <w:rPr>
                      <w:szCs w:val="21"/>
                    </w:rPr>
                  </w:pPr>
                  <w:r>
                    <w:rPr>
                      <w:rFonts w:hint="eastAsia"/>
                      <w:szCs w:val="21"/>
                    </w:rPr>
                    <w:t>乔司港</w:t>
                  </w:r>
                </w:p>
              </w:tc>
              <w:tc>
                <w:tcPr>
                  <w:tcW w:w="1219" w:type="dxa"/>
                  <w:tcMar>
                    <w:left w:w="0" w:type="dxa"/>
                    <w:right w:w="0" w:type="dxa"/>
                  </w:tcMar>
                  <w:vAlign w:val="center"/>
                </w:tcPr>
                <w:p>
                  <w:pPr>
                    <w:pStyle w:val="48"/>
                    <w:rPr>
                      <w:kern w:val="0"/>
                      <w:szCs w:val="21"/>
                    </w:rPr>
                  </w:pPr>
                  <w:r>
                    <w:rPr>
                      <w:rFonts w:hint="eastAsia"/>
                      <w:kern w:val="0"/>
                      <w:szCs w:val="21"/>
                    </w:rPr>
                    <w:t>-</w:t>
                  </w:r>
                </w:p>
              </w:tc>
              <w:tc>
                <w:tcPr>
                  <w:tcW w:w="1114" w:type="dxa"/>
                  <w:tcMar>
                    <w:left w:w="0" w:type="dxa"/>
                    <w:right w:w="0" w:type="dxa"/>
                  </w:tcMar>
                  <w:vAlign w:val="center"/>
                </w:tcPr>
                <w:p>
                  <w:pPr>
                    <w:pStyle w:val="48"/>
                    <w:rPr>
                      <w:kern w:val="0"/>
                      <w:szCs w:val="21"/>
                    </w:rPr>
                  </w:pPr>
                  <w:r>
                    <w:rPr>
                      <w:rFonts w:hint="eastAsia"/>
                      <w:kern w:val="0"/>
                      <w:szCs w:val="21"/>
                    </w:rPr>
                    <w:t>-</w:t>
                  </w:r>
                </w:p>
              </w:tc>
              <w:tc>
                <w:tcPr>
                  <w:tcW w:w="598" w:type="dxa"/>
                  <w:tcMar>
                    <w:left w:w="0" w:type="dxa"/>
                    <w:right w:w="0" w:type="dxa"/>
                  </w:tcMar>
                  <w:vAlign w:val="center"/>
                </w:tcPr>
                <w:p>
                  <w:pPr>
                    <w:pStyle w:val="48"/>
                    <w:rPr>
                      <w:kern w:val="0"/>
                      <w:szCs w:val="21"/>
                    </w:rPr>
                  </w:pPr>
                  <w:r>
                    <w:rPr>
                      <w:rFonts w:hint="eastAsia"/>
                      <w:kern w:val="0"/>
                      <w:szCs w:val="21"/>
                    </w:rPr>
                    <w:t>农业用水区</w:t>
                  </w:r>
                </w:p>
              </w:tc>
              <w:tc>
                <w:tcPr>
                  <w:tcW w:w="799" w:type="dxa"/>
                  <w:tcMar>
                    <w:left w:w="0" w:type="dxa"/>
                    <w:right w:w="0" w:type="dxa"/>
                  </w:tcMar>
                  <w:vAlign w:val="center"/>
                </w:tcPr>
                <w:p>
                  <w:pPr>
                    <w:pStyle w:val="48"/>
                    <w:rPr>
                      <w:szCs w:val="21"/>
                    </w:rPr>
                  </w:pPr>
                  <w:r>
                    <w:rPr>
                      <w:rFonts w:hint="eastAsia"/>
                      <w:szCs w:val="21"/>
                    </w:rPr>
                    <w:t>-</w:t>
                  </w:r>
                </w:p>
              </w:tc>
              <w:tc>
                <w:tcPr>
                  <w:tcW w:w="678" w:type="dxa"/>
                  <w:tcMar>
                    <w:left w:w="0" w:type="dxa"/>
                    <w:right w:w="0" w:type="dxa"/>
                  </w:tcMar>
                  <w:vAlign w:val="center"/>
                </w:tcPr>
                <w:p>
                  <w:pPr>
                    <w:pStyle w:val="48"/>
                    <w:rPr>
                      <w:kern w:val="0"/>
                      <w:szCs w:val="21"/>
                    </w:rPr>
                  </w:pPr>
                  <w:r>
                    <w:rPr>
                      <w:rFonts w:hint="eastAsia"/>
                      <w:kern w:val="0"/>
                      <w:szCs w:val="21"/>
                    </w:rPr>
                    <w:t>景观娱乐用水区</w:t>
                  </w:r>
                </w:p>
              </w:tc>
              <w:tc>
                <w:tcPr>
                  <w:tcW w:w="737" w:type="dxa"/>
                  <w:tcMar>
                    <w:left w:w="0" w:type="dxa"/>
                    <w:right w:w="0" w:type="dxa"/>
                  </w:tcMar>
                  <w:vAlign w:val="center"/>
                </w:tcPr>
                <w:p>
                  <w:pPr>
                    <w:pStyle w:val="48"/>
                    <w:rPr>
                      <w:szCs w:val="21"/>
                    </w:rPr>
                  </w:pPr>
                  <w:r>
                    <w:rPr>
                      <w:rFonts w:hint="eastAsia"/>
                      <w:szCs w:val="21"/>
                    </w:rPr>
                    <w:t>N</w:t>
                  </w:r>
                </w:p>
              </w:tc>
              <w:tc>
                <w:tcPr>
                  <w:tcW w:w="732" w:type="dxa"/>
                  <w:tcMar>
                    <w:left w:w="0" w:type="dxa"/>
                    <w:right w:w="0" w:type="dxa"/>
                  </w:tcMar>
                  <w:vAlign w:val="center"/>
                </w:tcPr>
                <w:p>
                  <w:pPr>
                    <w:pStyle w:val="48"/>
                    <w:rPr>
                      <w:szCs w:val="21"/>
                    </w:rPr>
                  </w:pPr>
                  <w:r>
                    <w:rPr>
                      <w:szCs w:val="21"/>
                    </w:rPr>
                    <w:t>55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2" w:hRule="atLeast"/>
                <w:jc w:val="center"/>
              </w:trPr>
              <w:tc>
                <w:tcPr>
                  <w:tcW w:w="852" w:type="dxa"/>
                  <w:vAlign w:val="center"/>
                </w:tcPr>
                <w:p>
                  <w:pPr>
                    <w:pStyle w:val="48"/>
                    <w:rPr>
                      <w:szCs w:val="21"/>
                    </w:rPr>
                  </w:pPr>
                  <w:r>
                    <w:rPr>
                      <w:rFonts w:hint="eastAsia"/>
                      <w:szCs w:val="21"/>
                    </w:rPr>
                    <w:t>声环境</w:t>
                  </w:r>
                </w:p>
              </w:tc>
              <w:tc>
                <w:tcPr>
                  <w:tcW w:w="783" w:type="dxa"/>
                  <w:tcMar>
                    <w:left w:w="0" w:type="dxa"/>
                    <w:right w:w="0" w:type="dxa"/>
                  </w:tcMar>
                  <w:vAlign w:val="center"/>
                </w:tcPr>
                <w:p>
                  <w:pPr>
                    <w:pStyle w:val="48"/>
                    <w:rPr>
                      <w:szCs w:val="21"/>
                    </w:rPr>
                  </w:pPr>
                  <w:r>
                    <w:rPr>
                      <w:rFonts w:hint="eastAsia"/>
                      <w:szCs w:val="21"/>
                    </w:rPr>
                    <w:t>临平区南苑幼儿园</w:t>
                  </w:r>
                </w:p>
              </w:tc>
              <w:tc>
                <w:tcPr>
                  <w:tcW w:w="1219" w:type="dxa"/>
                  <w:tcMar>
                    <w:left w:w="0" w:type="dxa"/>
                    <w:right w:w="0" w:type="dxa"/>
                  </w:tcMar>
                  <w:vAlign w:val="center"/>
                </w:tcPr>
                <w:p>
                  <w:pPr>
                    <w:tabs>
                      <w:tab w:val="left" w:pos="0"/>
                      <w:tab w:val="left" w:pos="870"/>
                      <w:tab w:val="left" w:pos="3150"/>
                    </w:tabs>
                    <w:autoSpaceDE w:val="0"/>
                    <w:autoSpaceDN w:val="0"/>
                    <w:spacing w:line="240" w:lineRule="auto"/>
                    <w:jc w:val="center"/>
                    <w:rPr>
                      <w:rFonts w:eastAsia="宋体"/>
                      <w:kern w:val="0"/>
                      <w:sz w:val="21"/>
                      <w:szCs w:val="21"/>
                    </w:rPr>
                  </w:pPr>
                  <w:r>
                    <w:rPr>
                      <w:rFonts w:eastAsia="宋体"/>
                      <w:sz w:val="21"/>
                      <w:szCs w:val="21"/>
                    </w:rPr>
                    <w:t>12</w:t>
                  </w:r>
                  <w:r>
                    <w:rPr>
                      <w:rFonts w:hint="eastAsia" w:eastAsia="宋体"/>
                      <w:sz w:val="21"/>
                      <w:szCs w:val="21"/>
                    </w:rPr>
                    <w:t>0</w:t>
                  </w:r>
                  <w:r>
                    <w:rPr>
                      <w:rFonts w:eastAsia="宋体"/>
                      <w:sz w:val="21"/>
                      <w:szCs w:val="21"/>
                    </w:rPr>
                    <w:t>°</w:t>
                  </w:r>
                  <w:r>
                    <w:rPr>
                      <w:rFonts w:hint="eastAsia" w:eastAsia="宋体"/>
                      <w:sz w:val="21"/>
                      <w:szCs w:val="21"/>
                    </w:rPr>
                    <w:t>18</w:t>
                  </w:r>
                  <w:r>
                    <w:rPr>
                      <w:rFonts w:eastAsia="宋体"/>
                      <w:sz w:val="21"/>
                      <w:szCs w:val="21"/>
                    </w:rPr>
                    <w:t>′</w:t>
                  </w:r>
                  <w:r>
                    <w:rPr>
                      <w:rFonts w:hint="eastAsia" w:eastAsia="宋体"/>
                      <w:sz w:val="21"/>
                      <w:szCs w:val="21"/>
                    </w:rPr>
                    <w:t>9.94</w:t>
                  </w:r>
                  <w:r>
                    <w:rPr>
                      <w:rFonts w:eastAsia="宋体"/>
                      <w:sz w:val="21"/>
                      <w:szCs w:val="21"/>
                    </w:rPr>
                    <w:t>"</w:t>
                  </w:r>
                </w:p>
              </w:tc>
              <w:tc>
                <w:tcPr>
                  <w:tcW w:w="1114" w:type="dxa"/>
                  <w:tcMar>
                    <w:left w:w="0" w:type="dxa"/>
                    <w:right w:w="0" w:type="dxa"/>
                  </w:tcMar>
                  <w:vAlign w:val="center"/>
                </w:tcPr>
                <w:p>
                  <w:pPr>
                    <w:tabs>
                      <w:tab w:val="left" w:pos="0"/>
                      <w:tab w:val="left" w:pos="870"/>
                      <w:tab w:val="left" w:pos="3150"/>
                    </w:tabs>
                    <w:autoSpaceDE w:val="0"/>
                    <w:autoSpaceDN w:val="0"/>
                    <w:spacing w:line="240" w:lineRule="auto"/>
                    <w:jc w:val="center"/>
                    <w:rPr>
                      <w:rFonts w:eastAsia="宋体"/>
                      <w:kern w:val="0"/>
                      <w:sz w:val="21"/>
                      <w:szCs w:val="21"/>
                    </w:rPr>
                  </w:pPr>
                  <w:r>
                    <w:rPr>
                      <w:rFonts w:hint="eastAsia" w:eastAsia="宋体"/>
                      <w:sz w:val="21"/>
                      <w:szCs w:val="21"/>
                    </w:rPr>
                    <w:t>30</w:t>
                  </w:r>
                  <w:r>
                    <w:rPr>
                      <w:rFonts w:eastAsia="宋体"/>
                      <w:sz w:val="21"/>
                      <w:szCs w:val="21"/>
                    </w:rPr>
                    <w:t>°</w:t>
                  </w:r>
                  <w:r>
                    <w:rPr>
                      <w:rFonts w:hint="eastAsia" w:eastAsia="宋体"/>
                      <w:sz w:val="21"/>
                      <w:szCs w:val="21"/>
                    </w:rPr>
                    <w:t>22</w:t>
                  </w:r>
                  <w:r>
                    <w:rPr>
                      <w:rFonts w:eastAsia="宋体"/>
                      <w:sz w:val="21"/>
                      <w:szCs w:val="21"/>
                    </w:rPr>
                    <w:t>′</w:t>
                  </w:r>
                  <w:r>
                    <w:rPr>
                      <w:rFonts w:hint="eastAsia" w:eastAsia="宋体"/>
                      <w:sz w:val="21"/>
                      <w:szCs w:val="21"/>
                    </w:rPr>
                    <w:t>59.90</w:t>
                  </w:r>
                  <w:r>
                    <w:rPr>
                      <w:rFonts w:eastAsia="宋体"/>
                      <w:sz w:val="21"/>
                      <w:szCs w:val="21"/>
                    </w:rPr>
                    <w:t>"</w:t>
                  </w:r>
                </w:p>
              </w:tc>
              <w:tc>
                <w:tcPr>
                  <w:tcW w:w="598" w:type="dxa"/>
                  <w:tcMar>
                    <w:left w:w="0" w:type="dxa"/>
                    <w:right w:w="0" w:type="dxa"/>
                  </w:tcMar>
                  <w:vAlign w:val="center"/>
                </w:tcPr>
                <w:p>
                  <w:pPr>
                    <w:pStyle w:val="48"/>
                    <w:rPr>
                      <w:kern w:val="0"/>
                      <w:szCs w:val="21"/>
                    </w:rPr>
                  </w:pPr>
                  <w:r>
                    <w:rPr>
                      <w:rFonts w:hint="eastAsia"/>
                      <w:kern w:val="0"/>
                      <w:szCs w:val="21"/>
                    </w:rPr>
                    <w:t>-</w:t>
                  </w:r>
                </w:p>
              </w:tc>
              <w:tc>
                <w:tcPr>
                  <w:tcW w:w="799" w:type="dxa"/>
                  <w:tcMar>
                    <w:left w:w="0" w:type="dxa"/>
                    <w:right w:w="0" w:type="dxa"/>
                  </w:tcMar>
                  <w:vAlign w:val="center"/>
                </w:tcPr>
                <w:p>
                  <w:pPr>
                    <w:pStyle w:val="48"/>
                    <w:rPr>
                      <w:szCs w:val="21"/>
                    </w:rPr>
                  </w:pPr>
                  <w:r>
                    <w:rPr>
                      <w:rFonts w:hint="eastAsia"/>
                      <w:szCs w:val="21"/>
                    </w:rPr>
                    <w:t>-</w:t>
                  </w:r>
                </w:p>
              </w:tc>
              <w:tc>
                <w:tcPr>
                  <w:tcW w:w="678" w:type="dxa"/>
                  <w:tcMar>
                    <w:left w:w="0" w:type="dxa"/>
                    <w:right w:w="0" w:type="dxa"/>
                  </w:tcMar>
                  <w:vAlign w:val="center"/>
                </w:tcPr>
                <w:p>
                  <w:pPr>
                    <w:pStyle w:val="48"/>
                    <w:rPr>
                      <w:kern w:val="0"/>
                      <w:szCs w:val="21"/>
                    </w:rPr>
                  </w:pPr>
                  <w:r>
                    <w:rPr>
                      <w:rFonts w:hint="eastAsia"/>
                      <w:kern w:val="0"/>
                      <w:szCs w:val="21"/>
                    </w:rPr>
                    <w:t>声环境</w:t>
                  </w:r>
                  <w:r>
                    <w:rPr>
                      <w:kern w:val="0"/>
                      <w:szCs w:val="21"/>
                    </w:rPr>
                    <w:t>2</w:t>
                  </w:r>
                  <w:r>
                    <w:rPr>
                      <w:rFonts w:hint="eastAsia"/>
                      <w:kern w:val="0"/>
                      <w:szCs w:val="21"/>
                    </w:rPr>
                    <w:t>类区</w:t>
                  </w:r>
                </w:p>
              </w:tc>
              <w:tc>
                <w:tcPr>
                  <w:tcW w:w="737" w:type="dxa"/>
                  <w:tcMar>
                    <w:left w:w="0" w:type="dxa"/>
                    <w:right w:w="0" w:type="dxa"/>
                  </w:tcMar>
                  <w:vAlign w:val="center"/>
                </w:tcPr>
                <w:p>
                  <w:pPr>
                    <w:pStyle w:val="48"/>
                    <w:rPr>
                      <w:szCs w:val="21"/>
                    </w:rPr>
                  </w:pPr>
                  <w:r>
                    <w:rPr>
                      <w:rFonts w:hint="eastAsia"/>
                      <w:kern w:val="0"/>
                      <w:szCs w:val="21"/>
                    </w:rPr>
                    <w:t>E</w:t>
                  </w:r>
                </w:p>
              </w:tc>
              <w:tc>
                <w:tcPr>
                  <w:tcW w:w="732" w:type="dxa"/>
                  <w:tcMar>
                    <w:left w:w="0" w:type="dxa"/>
                    <w:right w:w="0" w:type="dxa"/>
                  </w:tcMar>
                  <w:vAlign w:val="center"/>
                </w:tcPr>
                <w:p>
                  <w:pPr>
                    <w:pStyle w:val="48"/>
                    <w:rPr>
                      <w:szCs w:val="21"/>
                    </w:rPr>
                  </w:pPr>
                  <w:r>
                    <w:rPr>
                      <w:rFonts w:hint="eastAsia"/>
                      <w:szCs w:val="21"/>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2" w:hRule="atLeast"/>
                <w:jc w:val="center"/>
              </w:trPr>
              <w:tc>
                <w:tcPr>
                  <w:tcW w:w="852" w:type="dxa"/>
                  <w:tcMar>
                    <w:left w:w="28" w:type="dxa"/>
                    <w:right w:w="28" w:type="dxa"/>
                  </w:tcMar>
                  <w:vAlign w:val="center"/>
                </w:tcPr>
                <w:p>
                  <w:pPr>
                    <w:pStyle w:val="48"/>
                    <w:rPr>
                      <w:szCs w:val="21"/>
                    </w:rPr>
                  </w:pPr>
                  <w:r>
                    <w:rPr>
                      <w:rFonts w:hint="eastAsia"/>
                      <w:szCs w:val="21"/>
                    </w:rPr>
                    <w:t>地下水环境</w:t>
                  </w:r>
                </w:p>
              </w:tc>
              <w:tc>
                <w:tcPr>
                  <w:tcW w:w="783" w:type="dxa"/>
                  <w:tcMar>
                    <w:left w:w="0" w:type="dxa"/>
                    <w:right w:w="0" w:type="dxa"/>
                  </w:tcMar>
                  <w:vAlign w:val="center"/>
                </w:tcPr>
                <w:p>
                  <w:pPr>
                    <w:pStyle w:val="48"/>
                    <w:rPr>
                      <w:szCs w:val="21"/>
                    </w:rPr>
                  </w:pPr>
                  <w:r>
                    <w:rPr>
                      <w:rFonts w:hint="eastAsia"/>
                      <w:szCs w:val="21"/>
                    </w:rPr>
                    <w:t>-</w:t>
                  </w:r>
                </w:p>
              </w:tc>
              <w:tc>
                <w:tcPr>
                  <w:tcW w:w="1219" w:type="dxa"/>
                  <w:tcMar>
                    <w:left w:w="28" w:type="dxa"/>
                    <w:right w:w="28" w:type="dxa"/>
                  </w:tcMar>
                  <w:vAlign w:val="center"/>
                </w:tcPr>
                <w:p>
                  <w:pPr>
                    <w:pStyle w:val="48"/>
                    <w:rPr>
                      <w:kern w:val="0"/>
                      <w:szCs w:val="21"/>
                    </w:rPr>
                  </w:pPr>
                  <w:r>
                    <w:rPr>
                      <w:rFonts w:hint="eastAsia"/>
                      <w:kern w:val="0"/>
                      <w:szCs w:val="21"/>
                    </w:rPr>
                    <w:t>-</w:t>
                  </w:r>
                </w:p>
              </w:tc>
              <w:tc>
                <w:tcPr>
                  <w:tcW w:w="1114" w:type="dxa"/>
                  <w:tcMar>
                    <w:left w:w="28" w:type="dxa"/>
                    <w:right w:w="28" w:type="dxa"/>
                  </w:tcMar>
                  <w:vAlign w:val="center"/>
                </w:tcPr>
                <w:p>
                  <w:pPr>
                    <w:pStyle w:val="48"/>
                    <w:rPr>
                      <w:kern w:val="0"/>
                      <w:szCs w:val="21"/>
                    </w:rPr>
                  </w:pPr>
                  <w:r>
                    <w:rPr>
                      <w:rFonts w:hint="eastAsia"/>
                      <w:kern w:val="0"/>
                      <w:szCs w:val="21"/>
                    </w:rPr>
                    <w:t>-</w:t>
                  </w:r>
                </w:p>
              </w:tc>
              <w:tc>
                <w:tcPr>
                  <w:tcW w:w="598" w:type="dxa"/>
                  <w:tcMar>
                    <w:left w:w="28" w:type="dxa"/>
                    <w:right w:w="28" w:type="dxa"/>
                  </w:tcMar>
                  <w:vAlign w:val="center"/>
                </w:tcPr>
                <w:p>
                  <w:pPr>
                    <w:pStyle w:val="48"/>
                    <w:rPr>
                      <w:kern w:val="0"/>
                      <w:szCs w:val="21"/>
                    </w:rPr>
                  </w:pPr>
                  <w:r>
                    <w:rPr>
                      <w:rFonts w:hint="eastAsia"/>
                      <w:kern w:val="0"/>
                      <w:szCs w:val="21"/>
                    </w:rPr>
                    <w:t>-</w:t>
                  </w:r>
                </w:p>
              </w:tc>
              <w:tc>
                <w:tcPr>
                  <w:tcW w:w="799" w:type="dxa"/>
                  <w:tcMar>
                    <w:left w:w="28" w:type="dxa"/>
                    <w:right w:w="28" w:type="dxa"/>
                  </w:tcMar>
                  <w:vAlign w:val="center"/>
                </w:tcPr>
                <w:p>
                  <w:pPr>
                    <w:pStyle w:val="48"/>
                    <w:rPr>
                      <w:szCs w:val="21"/>
                    </w:rPr>
                  </w:pPr>
                  <w:r>
                    <w:rPr>
                      <w:rFonts w:hint="eastAsia"/>
                      <w:szCs w:val="21"/>
                    </w:rPr>
                    <w:t>-</w:t>
                  </w:r>
                </w:p>
              </w:tc>
              <w:tc>
                <w:tcPr>
                  <w:tcW w:w="678" w:type="dxa"/>
                  <w:tcMar>
                    <w:left w:w="28" w:type="dxa"/>
                    <w:right w:w="28" w:type="dxa"/>
                  </w:tcMar>
                  <w:vAlign w:val="center"/>
                </w:tcPr>
                <w:p>
                  <w:pPr>
                    <w:pStyle w:val="48"/>
                    <w:rPr>
                      <w:kern w:val="0"/>
                      <w:szCs w:val="21"/>
                    </w:rPr>
                  </w:pPr>
                  <w:r>
                    <w:rPr>
                      <w:rFonts w:hint="eastAsia"/>
                      <w:kern w:val="0"/>
                      <w:szCs w:val="21"/>
                    </w:rPr>
                    <w:t>-</w:t>
                  </w:r>
                </w:p>
              </w:tc>
              <w:tc>
                <w:tcPr>
                  <w:tcW w:w="737" w:type="dxa"/>
                  <w:tcMar>
                    <w:left w:w="28" w:type="dxa"/>
                    <w:right w:w="28" w:type="dxa"/>
                  </w:tcMar>
                  <w:vAlign w:val="center"/>
                </w:tcPr>
                <w:p>
                  <w:pPr>
                    <w:pStyle w:val="48"/>
                    <w:rPr>
                      <w:szCs w:val="21"/>
                    </w:rPr>
                  </w:pPr>
                  <w:r>
                    <w:rPr>
                      <w:rFonts w:hint="eastAsia"/>
                      <w:szCs w:val="21"/>
                    </w:rPr>
                    <w:t>-</w:t>
                  </w:r>
                </w:p>
              </w:tc>
              <w:tc>
                <w:tcPr>
                  <w:tcW w:w="732" w:type="dxa"/>
                  <w:tcMar>
                    <w:left w:w="28" w:type="dxa"/>
                    <w:right w:w="28" w:type="dxa"/>
                  </w:tcMar>
                  <w:vAlign w:val="center"/>
                </w:tcPr>
                <w:p>
                  <w:pPr>
                    <w:pStyle w:val="48"/>
                    <w:rPr>
                      <w:szCs w:val="21"/>
                    </w:rPr>
                  </w:pPr>
                  <w:r>
                    <w:rPr>
                      <w:rFonts w:hint="eastAsia"/>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2" w:hRule="atLeast"/>
                <w:jc w:val="center"/>
              </w:trPr>
              <w:tc>
                <w:tcPr>
                  <w:tcW w:w="852" w:type="dxa"/>
                  <w:vAlign w:val="center"/>
                </w:tcPr>
                <w:p>
                  <w:pPr>
                    <w:pStyle w:val="48"/>
                    <w:rPr>
                      <w:szCs w:val="21"/>
                    </w:rPr>
                  </w:pPr>
                  <w:r>
                    <w:rPr>
                      <w:rFonts w:hint="eastAsia"/>
                      <w:szCs w:val="21"/>
                    </w:rPr>
                    <w:t>生态环境</w:t>
                  </w:r>
                </w:p>
              </w:tc>
              <w:tc>
                <w:tcPr>
                  <w:tcW w:w="783" w:type="dxa"/>
                  <w:tcMar>
                    <w:left w:w="0" w:type="dxa"/>
                    <w:right w:w="0" w:type="dxa"/>
                  </w:tcMar>
                  <w:vAlign w:val="center"/>
                </w:tcPr>
                <w:p>
                  <w:pPr>
                    <w:pStyle w:val="48"/>
                    <w:rPr>
                      <w:szCs w:val="21"/>
                    </w:rPr>
                  </w:pPr>
                  <w:r>
                    <w:rPr>
                      <w:rFonts w:hint="eastAsia"/>
                      <w:szCs w:val="21"/>
                    </w:rPr>
                    <w:t>-</w:t>
                  </w:r>
                </w:p>
              </w:tc>
              <w:tc>
                <w:tcPr>
                  <w:tcW w:w="1219" w:type="dxa"/>
                  <w:tcMar>
                    <w:left w:w="0" w:type="dxa"/>
                    <w:right w:w="0" w:type="dxa"/>
                  </w:tcMar>
                  <w:vAlign w:val="center"/>
                </w:tcPr>
                <w:p>
                  <w:pPr>
                    <w:pStyle w:val="48"/>
                    <w:rPr>
                      <w:kern w:val="0"/>
                      <w:szCs w:val="21"/>
                    </w:rPr>
                  </w:pPr>
                  <w:r>
                    <w:rPr>
                      <w:rFonts w:hint="eastAsia"/>
                      <w:kern w:val="0"/>
                      <w:szCs w:val="21"/>
                    </w:rPr>
                    <w:t>-</w:t>
                  </w:r>
                </w:p>
              </w:tc>
              <w:tc>
                <w:tcPr>
                  <w:tcW w:w="1114" w:type="dxa"/>
                  <w:tcMar>
                    <w:left w:w="0" w:type="dxa"/>
                    <w:right w:w="0" w:type="dxa"/>
                  </w:tcMar>
                  <w:vAlign w:val="center"/>
                </w:tcPr>
                <w:p>
                  <w:pPr>
                    <w:pStyle w:val="48"/>
                    <w:rPr>
                      <w:kern w:val="0"/>
                      <w:szCs w:val="21"/>
                    </w:rPr>
                  </w:pPr>
                  <w:r>
                    <w:rPr>
                      <w:rFonts w:hint="eastAsia"/>
                      <w:kern w:val="0"/>
                      <w:szCs w:val="21"/>
                    </w:rPr>
                    <w:t>-</w:t>
                  </w:r>
                </w:p>
              </w:tc>
              <w:tc>
                <w:tcPr>
                  <w:tcW w:w="598" w:type="dxa"/>
                  <w:tcMar>
                    <w:left w:w="0" w:type="dxa"/>
                    <w:right w:w="0" w:type="dxa"/>
                  </w:tcMar>
                  <w:vAlign w:val="center"/>
                </w:tcPr>
                <w:p>
                  <w:pPr>
                    <w:pStyle w:val="48"/>
                    <w:rPr>
                      <w:kern w:val="0"/>
                      <w:szCs w:val="21"/>
                    </w:rPr>
                  </w:pPr>
                  <w:r>
                    <w:rPr>
                      <w:rFonts w:hint="eastAsia"/>
                      <w:kern w:val="0"/>
                      <w:szCs w:val="21"/>
                    </w:rPr>
                    <w:t>-</w:t>
                  </w:r>
                </w:p>
              </w:tc>
              <w:tc>
                <w:tcPr>
                  <w:tcW w:w="799" w:type="dxa"/>
                  <w:tcMar>
                    <w:left w:w="0" w:type="dxa"/>
                    <w:right w:w="0" w:type="dxa"/>
                  </w:tcMar>
                  <w:vAlign w:val="center"/>
                </w:tcPr>
                <w:p>
                  <w:pPr>
                    <w:pStyle w:val="48"/>
                    <w:rPr>
                      <w:szCs w:val="21"/>
                    </w:rPr>
                  </w:pPr>
                  <w:r>
                    <w:rPr>
                      <w:rFonts w:hint="eastAsia"/>
                      <w:szCs w:val="21"/>
                    </w:rPr>
                    <w:t>-</w:t>
                  </w:r>
                </w:p>
              </w:tc>
              <w:tc>
                <w:tcPr>
                  <w:tcW w:w="678" w:type="dxa"/>
                  <w:tcMar>
                    <w:left w:w="0" w:type="dxa"/>
                    <w:right w:w="0" w:type="dxa"/>
                  </w:tcMar>
                  <w:vAlign w:val="center"/>
                </w:tcPr>
                <w:p>
                  <w:pPr>
                    <w:pStyle w:val="48"/>
                    <w:rPr>
                      <w:kern w:val="0"/>
                      <w:szCs w:val="21"/>
                    </w:rPr>
                  </w:pPr>
                  <w:r>
                    <w:rPr>
                      <w:rFonts w:hint="eastAsia"/>
                      <w:kern w:val="0"/>
                      <w:szCs w:val="21"/>
                    </w:rPr>
                    <w:t>-</w:t>
                  </w:r>
                </w:p>
              </w:tc>
              <w:tc>
                <w:tcPr>
                  <w:tcW w:w="737" w:type="dxa"/>
                  <w:tcMar>
                    <w:left w:w="0" w:type="dxa"/>
                    <w:right w:w="0" w:type="dxa"/>
                  </w:tcMar>
                  <w:vAlign w:val="center"/>
                </w:tcPr>
                <w:p>
                  <w:pPr>
                    <w:pStyle w:val="48"/>
                    <w:rPr>
                      <w:szCs w:val="21"/>
                    </w:rPr>
                  </w:pPr>
                  <w:r>
                    <w:rPr>
                      <w:rFonts w:hint="eastAsia"/>
                      <w:szCs w:val="21"/>
                    </w:rPr>
                    <w:t>-</w:t>
                  </w:r>
                </w:p>
              </w:tc>
              <w:tc>
                <w:tcPr>
                  <w:tcW w:w="732" w:type="dxa"/>
                  <w:tcMar>
                    <w:left w:w="0" w:type="dxa"/>
                    <w:right w:w="0" w:type="dxa"/>
                  </w:tcMar>
                  <w:vAlign w:val="center"/>
                </w:tcPr>
                <w:p>
                  <w:pPr>
                    <w:pStyle w:val="48"/>
                    <w:rPr>
                      <w:szCs w:val="21"/>
                    </w:rPr>
                  </w:pPr>
                  <w:r>
                    <w:rPr>
                      <w:rFonts w:hint="eastAsia"/>
                      <w:szCs w:val="21"/>
                    </w:rPr>
                    <w:t>-</w:t>
                  </w:r>
                </w:p>
              </w:tc>
            </w:tr>
          </w:tbl>
          <w:p>
            <w:pPr>
              <w:pStyle w:val="16"/>
              <w:ind w:firstLine="420" w:firstLineChars="200"/>
              <w:jc w:val="left"/>
              <w:rPr>
                <w:rFonts w:ascii="Times New Roman" w:hAnsi="Times New Roman" w:eastAsia="宋体" w:cs="Times New Roman"/>
                <w:sz w:val="21"/>
                <w:szCs w:val="21"/>
              </w:rPr>
            </w:pPr>
            <w:r>
              <w:rPr>
                <w:rFonts w:ascii="Times New Roman" w:hAnsi="Times New Roman" w:eastAsia="宋体" w:cs="Times New Roman"/>
                <w:sz w:val="21"/>
                <w:szCs w:val="21"/>
              </w:rPr>
              <w:t>注：</w:t>
            </w:r>
            <w:r>
              <w:rPr>
                <w:rFonts w:hint="eastAsia" w:ascii="Times New Roman" w:hAnsi="Times New Roman" w:eastAsia="宋体" w:cs="Times New Roman"/>
                <w:sz w:val="21"/>
                <w:szCs w:val="21"/>
              </w:rPr>
              <w:t>①</w:t>
            </w:r>
            <w:r>
              <w:rPr>
                <w:rFonts w:ascii="Times New Roman" w:hAnsi="Times New Roman" w:eastAsia="宋体" w:cs="Times New Roman"/>
                <w:sz w:val="21"/>
                <w:szCs w:val="21"/>
              </w:rPr>
              <w:t>表中的“方位”以拟建</w:t>
            </w:r>
            <w:r>
              <w:rPr>
                <w:rFonts w:hint="eastAsia" w:ascii="Times New Roman" w:hAnsi="Times New Roman" w:eastAsia="宋体" w:cs="Times New Roman"/>
                <w:sz w:val="21"/>
                <w:szCs w:val="21"/>
              </w:rPr>
              <w:t>地</w:t>
            </w:r>
            <w:r>
              <w:rPr>
                <w:rFonts w:ascii="Times New Roman" w:hAnsi="Times New Roman" w:eastAsia="宋体" w:cs="Times New Roman"/>
                <w:sz w:val="21"/>
                <w:szCs w:val="21"/>
              </w:rPr>
              <w:t>为基准点，“距离”是指保护目标与</w:t>
            </w:r>
            <w:r>
              <w:rPr>
                <w:rFonts w:hint="eastAsia" w:ascii="Times New Roman" w:hAnsi="Times New Roman" w:eastAsia="宋体" w:cs="Times New Roman"/>
                <w:sz w:val="21"/>
                <w:szCs w:val="21"/>
              </w:rPr>
              <w:t>项目</w:t>
            </w:r>
            <w:r>
              <w:rPr>
                <w:rFonts w:ascii="Times New Roman" w:hAnsi="Times New Roman" w:eastAsia="宋体" w:cs="Times New Roman"/>
                <w:sz w:val="21"/>
                <w:szCs w:val="21"/>
              </w:rPr>
              <w:t>的最近距离。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16"/>
              <w:spacing w:line="240" w:lineRule="auto"/>
              <w:jc w:val="center"/>
              <w:rPr>
                <w:rFonts w:ascii="Times New Roman" w:hAnsi="Times New Roman" w:eastAsia="宋体" w:cs="Times New Roman"/>
              </w:rPr>
            </w:pPr>
            <w:r>
              <w:rPr>
                <w:rFonts w:hint="eastAsia" w:ascii="Times New Roman" w:hAnsi="Times New Roman" w:eastAsia="宋体" w:cs="Times New Roman"/>
              </w:rPr>
              <w:t>污染物排放控制标准</w:t>
            </w:r>
          </w:p>
        </w:tc>
        <w:tc>
          <w:tcPr>
            <w:tcW w:w="7734" w:type="dxa"/>
            <w:vAlign w:val="center"/>
          </w:tcPr>
          <w:p>
            <w:pPr>
              <w:pStyle w:val="16"/>
              <w:ind w:firstLine="480" w:firstLineChars="200"/>
              <w:jc w:val="left"/>
              <w:rPr>
                <w:rFonts w:ascii="Times New Roman" w:hAnsi="Times New Roman" w:eastAsia="宋体" w:cs="Times New Roman"/>
              </w:rPr>
            </w:pPr>
            <w:r>
              <w:rPr>
                <w:rFonts w:hint="eastAsia" w:ascii="Times New Roman" w:hAnsi="Times New Roman" w:eastAsia="宋体" w:cs="Times New Roman"/>
              </w:rPr>
              <w:t>1、污染物排放控制标准</w:t>
            </w:r>
          </w:p>
          <w:p>
            <w:pPr>
              <w:pStyle w:val="16"/>
              <w:ind w:firstLine="482" w:firstLineChars="200"/>
              <w:jc w:val="left"/>
              <w:rPr>
                <w:rFonts w:ascii="Times New Roman" w:hAnsi="Times New Roman" w:eastAsia="宋体" w:cs="Times New Roman"/>
                <w:b/>
                <w:bCs/>
              </w:rPr>
            </w:pPr>
            <w:r>
              <w:rPr>
                <w:rFonts w:hint="eastAsia" w:ascii="Times New Roman" w:hAnsi="Times New Roman" w:eastAsia="宋体" w:cs="Times New Roman"/>
                <w:b/>
                <w:bCs/>
              </w:rPr>
              <w:t>（</w:t>
            </w:r>
            <w:r>
              <w:rPr>
                <w:rFonts w:ascii="Times New Roman" w:hAnsi="Times New Roman" w:eastAsia="宋体" w:cs="Times New Roman"/>
                <w:b/>
                <w:bCs/>
              </w:rPr>
              <w:t>1</w:t>
            </w:r>
            <w:r>
              <w:rPr>
                <w:rFonts w:hint="eastAsia" w:ascii="Times New Roman" w:hAnsi="Times New Roman" w:eastAsia="宋体" w:cs="Times New Roman"/>
                <w:b/>
                <w:bCs/>
              </w:rPr>
              <w:t>）施工期</w:t>
            </w:r>
          </w:p>
          <w:p>
            <w:pPr>
              <w:pStyle w:val="16"/>
              <w:ind w:firstLine="480" w:firstLineChars="200"/>
              <w:jc w:val="left"/>
              <w:rPr>
                <w:rFonts w:ascii="Times New Roman" w:hAnsi="Times New Roman" w:eastAsia="宋体" w:cs="Times New Roman"/>
              </w:rPr>
            </w:pPr>
            <w:r>
              <w:rPr>
                <w:rFonts w:hint="eastAsia" w:ascii="Times New Roman" w:hAnsi="Times New Roman" w:eastAsia="宋体" w:cs="Times New Roman"/>
              </w:rPr>
              <w:t>1）废气</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施工期扬尘、油漆废气和沥青烟气执行《大气污染物综合排放标准》（G</w:t>
            </w:r>
            <w:r>
              <w:rPr>
                <w:rFonts w:ascii="Times New Roman" w:hAnsi="Times New Roman" w:eastAsia="宋体" w:cs="Times New Roman"/>
              </w:rPr>
              <w:t>B16297-1996</w:t>
            </w:r>
            <w:r>
              <w:rPr>
                <w:rFonts w:hint="eastAsia" w:ascii="Times New Roman" w:hAnsi="Times New Roman" w:eastAsia="宋体" w:cs="Times New Roman"/>
              </w:rPr>
              <w:t>）中二级标准的相关标准，具体标准值如下表所示。</w:t>
            </w:r>
          </w:p>
          <w:p>
            <w:pPr>
              <w:pStyle w:val="16"/>
              <w:spacing w:before="156" w:beforeLines="50" w:line="24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表3</w:t>
            </w:r>
            <w:r>
              <w:rPr>
                <w:rFonts w:ascii="Times New Roman" w:hAnsi="Times New Roman" w:eastAsia="宋体" w:cs="Times New Roman"/>
                <w:b/>
                <w:bCs/>
                <w:sz w:val="21"/>
                <w:szCs w:val="21"/>
              </w:rPr>
              <w:t>-</w:t>
            </w:r>
            <w:r>
              <w:rPr>
                <w:rFonts w:hint="eastAsia" w:ascii="Times New Roman" w:hAnsi="Times New Roman" w:eastAsia="宋体" w:cs="Times New Roman"/>
                <w:b/>
                <w:bCs/>
                <w:sz w:val="21"/>
                <w:szCs w:val="21"/>
              </w:rPr>
              <w:t>5大气污染物综合排放标准</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7"/>
              <w:gridCol w:w="3133"/>
              <w:gridCol w:w="2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Merge w:val="restart"/>
                  <w:vAlign w:val="center"/>
                </w:tcPr>
                <w:p>
                  <w:pPr>
                    <w:pStyle w:val="16"/>
                    <w:spacing w:line="24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污染物</w:t>
                  </w:r>
                </w:p>
              </w:tc>
              <w:tc>
                <w:tcPr>
                  <w:tcW w:w="5691" w:type="dxa"/>
                  <w:gridSpan w:val="2"/>
                  <w:vAlign w:val="center"/>
                </w:tcPr>
                <w:p>
                  <w:pPr>
                    <w:pStyle w:val="16"/>
                    <w:spacing w:line="24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无组织排放浓度监控限值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Merge w:val="continue"/>
                  <w:vAlign w:val="center"/>
                </w:tcPr>
                <w:p>
                  <w:pPr>
                    <w:pStyle w:val="16"/>
                    <w:spacing w:line="240" w:lineRule="auto"/>
                    <w:jc w:val="center"/>
                    <w:rPr>
                      <w:rFonts w:ascii="Times New Roman" w:hAnsi="Times New Roman" w:eastAsia="宋体" w:cs="Times New Roman"/>
                      <w:b/>
                      <w:bCs/>
                      <w:sz w:val="21"/>
                      <w:szCs w:val="21"/>
                    </w:rPr>
                  </w:pPr>
                </w:p>
              </w:tc>
              <w:tc>
                <w:tcPr>
                  <w:tcW w:w="3133" w:type="dxa"/>
                  <w:vAlign w:val="center"/>
                </w:tcPr>
                <w:p>
                  <w:pPr>
                    <w:pStyle w:val="16"/>
                    <w:spacing w:line="24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监控点</w:t>
                  </w:r>
                </w:p>
              </w:tc>
              <w:tc>
                <w:tcPr>
                  <w:tcW w:w="2558" w:type="dxa"/>
                  <w:vAlign w:val="center"/>
                </w:tcPr>
                <w:p>
                  <w:pPr>
                    <w:pStyle w:val="16"/>
                    <w:spacing w:line="24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浓度（mg</w:t>
                  </w:r>
                  <w:r>
                    <w:rPr>
                      <w:rFonts w:ascii="Times New Roman" w:hAnsi="Times New Roman" w:eastAsia="宋体" w:cs="Times New Roman"/>
                      <w:b/>
                      <w:bCs/>
                      <w:sz w:val="21"/>
                      <w:szCs w:val="21"/>
                    </w:rPr>
                    <w:t>/</w:t>
                  </w:r>
                  <w:r>
                    <w:rPr>
                      <w:rFonts w:hint="eastAsia" w:ascii="Times New Roman" w:hAnsi="Times New Roman" w:eastAsia="宋体" w:cs="Times New Roman"/>
                      <w:b/>
                      <w:bCs/>
                      <w:sz w:val="21"/>
                      <w:szCs w:val="21"/>
                    </w:rPr>
                    <w:t>m</w:t>
                  </w:r>
                  <w:r>
                    <w:rPr>
                      <w:rFonts w:ascii="Times New Roman" w:hAnsi="Times New Roman" w:eastAsia="宋体" w:cs="Times New Roman"/>
                      <w:b/>
                      <w:bCs/>
                      <w:sz w:val="21"/>
                      <w:szCs w:val="21"/>
                      <w:vertAlign w:val="superscript"/>
                    </w:rPr>
                    <w:t>3</w:t>
                  </w:r>
                  <w:r>
                    <w:rPr>
                      <w:rFonts w:hint="eastAsia" w:ascii="Times New Roman" w:hAnsi="Times New Roman" w:eastAsia="宋体"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颗粒物</w:t>
                  </w:r>
                </w:p>
              </w:tc>
              <w:tc>
                <w:tcPr>
                  <w:tcW w:w="3133"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周界外浓度最高点</w:t>
                  </w:r>
                </w:p>
              </w:tc>
              <w:tc>
                <w:tcPr>
                  <w:tcW w:w="2558"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沥青烟</w:t>
                  </w:r>
                </w:p>
              </w:tc>
              <w:tc>
                <w:tcPr>
                  <w:tcW w:w="5691" w:type="dxa"/>
                  <w:gridSpan w:val="2"/>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生产设备不得有明显的无组织排放存在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酚类</w:t>
                  </w:r>
                </w:p>
              </w:tc>
              <w:tc>
                <w:tcPr>
                  <w:tcW w:w="3133"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周界外浓度最高点</w:t>
                  </w:r>
                </w:p>
              </w:tc>
              <w:tc>
                <w:tcPr>
                  <w:tcW w:w="2558"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w:t>
                  </w:r>
                  <w:r>
                    <w:rPr>
                      <w:rFonts w:ascii="Times New Roman" w:hAnsi="Times New Roman" w:eastAsia="宋体" w:cs="Times New Roman"/>
                      <w:sz w:val="21"/>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苯并</w:t>
                  </w:r>
                  <w:r>
                    <w:rPr>
                      <w:rFonts w:hint="eastAsia" w:ascii="宋体" w:hAnsi="宋体" w:eastAsia="宋体" w:cs="宋体"/>
                      <w:sz w:val="21"/>
                      <w:szCs w:val="21"/>
                    </w:rPr>
                    <w:t>[a]</w:t>
                  </w:r>
                  <w:r>
                    <w:rPr>
                      <w:rFonts w:hint="eastAsia" w:ascii="Times New Roman" w:hAnsi="Times New Roman" w:eastAsia="宋体" w:cs="Times New Roman"/>
                      <w:sz w:val="21"/>
                      <w:szCs w:val="21"/>
                    </w:rPr>
                    <w:t>芘</w:t>
                  </w:r>
                </w:p>
              </w:tc>
              <w:tc>
                <w:tcPr>
                  <w:tcW w:w="3133"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周界外浓度最高点</w:t>
                  </w:r>
                </w:p>
              </w:tc>
              <w:tc>
                <w:tcPr>
                  <w:tcW w:w="2558"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w:t>
                  </w:r>
                  <w:r>
                    <w:rPr>
                      <w:rFonts w:ascii="Times New Roman" w:hAnsi="Times New Roman" w:eastAsia="宋体" w:cs="Times New Roman"/>
                      <w:sz w:val="21"/>
                      <w:szCs w:val="21"/>
                    </w:rPr>
                    <w:t>.008μ</w:t>
                  </w:r>
                  <w:r>
                    <w:rPr>
                      <w:rFonts w:hint="eastAsia" w:ascii="Times New Roman" w:hAnsi="Times New Roman" w:eastAsia="宋体" w:cs="Times New Roman"/>
                      <w:sz w:val="21"/>
                      <w:szCs w:val="21"/>
                    </w:rPr>
                    <w:t>g</w:t>
                  </w:r>
                  <w:r>
                    <w:rPr>
                      <w:rFonts w:ascii="Times New Roman" w:hAnsi="Times New Roman" w:eastAsia="宋体" w:cs="Times New Roman"/>
                      <w:sz w:val="21"/>
                      <w:szCs w:val="21"/>
                    </w:rPr>
                    <w:t>/</w:t>
                  </w:r>
                  <w:r>
                    <w:rPr>
                      <w:rFonts w:hint="eastAsia" w:ascii="Times New Roman" w:hAnsi="Times New Roman" w:eastAsia="宋体" w:cs="Times New Roman"/>
                      <w:sz w:val="21"/>
                      <w:szCs w:val="21"/>
                    </w:rPr>
                    <w:t>m</w:t>
                  </w:r>
                  <w:r>
                    <w:rPr>
                      <w:rFonts w:ascii="Times New Roman" w:hAnsi="Times New Roman" w:eastAsia="宋体"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非甲烷总烃</w:t>
                  </w:r>
                </w:p>
              </w:tc>
              <w:tc>
                <w:tcPr>
                  <w:tcW w:w="3133"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周界外浓度最高点</w:t>
                  </w:r>
                </w:p>
              </w:tc>
              <w:tc>
                <w:tcPr>
                  <w:tcW w:w="2558" w:type="dxa"/>
                  <w:vAlign w:val="center"/>
                </w:tcPr>
                <w:p>
                  <w:pPr>
                    <w:pStyle w:val="16"/>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w:t>
                  </w:r>
                  <w:r>
                    <w:rPr>
                      <w:rFonts w:ascii="Times New Roman" w:hAnsi="Times New Roman" w:eastAsia="宋体" w:cs="Times New Roman"/>
                      <w:sz w:val="21"/>
                      <w:szCs w:val="21"/>
                    </w:rPr>
                    <w:t>.0</w:t>
                  </w:r>
                </w:p>
              </w:tc>
            </w:tr>
          </w:tbl>
          <w:p>
            <w:pPr>
              <w:pStyle w:val="16"/>
              <w:ind w:firstLine="480" w:firstLineChars="200"/>
              <w:jc w:val="left"/>
              <w:rPr>
                <w:rFonts w:ascii="Times New Roman" w:hAnsi="Times New Roman" w:eastAsia="宋体" w:cs="Times New Roman"/>
              </w:rPr>
            </w:pPr>
            <w:r>
              <w:rPr>
                <w:rFonts w:hint="eastAsia" w:ascii="Times New Roman" w:hAnsi="Times New Roman" w:eastAsia="宋体" w:cs="Times New Roman"/>
              </w:rPr>
              <w:t>2）废水</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施工期产生的施工废水经沉淀池沉淀后上清液回用于洒水抑尘，生活污水经化粪池处理后纳管排放。基坑废水抽至坑外排水沟，经隔油、沉淀等预处理后上清液回用于工程抑尘、车辆冲洗等。</w:t>
            </w:r>
          </w:p>
          <w:p>
            <w:pPr>
              <w:pStyle w:val="16"/>
              <w:ind w:firstLine="480" w:firstLineChars="200"/>
              <w:jc w:val="left"/>
              <w:rPr>
                <w:rFonts w:ascii="Times New Roman" w:hAnsi="Times New Roman" w:eastAsia="宋体" w:cs="Times New Roman"/>
              </w:rPr>
            </w:pPr>
            <w:r>
              <w:rPr>
                <w:rFonts w:hint="eastAsia" w:ascii="Times New Roman" w:hAnsi="Times New Roman" w:eastAsia="宋体" w:cs="Times New Roman"/>
              </w:rPr>
              <w:t>3）噪声</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施工期厂界噪声执行《建筑施工场界环境噪声排放标准》（G</w:t>
            </w:r>
            <w:r>
              <w:rPr>
                <w:rFonts w:ascii="Times New Roman" w:hAnsi="Times New Roman" w:eastAsia="宋体" w:cs="Times New Roman"/>
              </w:rPr>
              <w:t>B12523-2011</w:t>
            </w:r>
            <w:r>
              <w:rPr>
                <w:rFonts w:hint="eastAsia" w:ascii="Times New Roman" w:hAnsi="Times New Roman" w:eastAsia="宋体" w:cs="Times New Roman"/>
              </w:rPr>
              <w:t>）中规定的排放限值，详见表3</w:t>
            </w:r>
            <w:r>
              <w:rPr>
                <w:rFonts w:ascii="Times New Roman" w:hAnsi="Times New Roman" w:eastAsia="宋体" w:cs="Times New Roman"/>
              </w:rPr>
              <w:t>-</w:t>
            </w:r>
            <w:r>
              <w:rPr>
                <w:rFonts w:hint="eastAsia" w:ascii="Times New Roman" w:hAnsi="Times New Roman" w:eastAsia="宋体" w:cs="Times New Roman"/>
              </w:rPr>
              <w:t>6。</w:t>
            </w:r>
          </w:p>
          <w:p>
            <w:pPr>
              <w:pStyle w:val="16"/>
              <w:ind w:firstLine="480" w:firstLineChars="200"/>
              <w:rPr>
                <w:rFonts w:ascii="Times New Roman" w:hAnsi="Times New Roman" w:eastAsia="宋体" w:cs="Times New Roman"/>
              </w:rPr>
            </w:pPr>
          </w:p>
          <w:p>
            <w:pPr>
              <w:pStyle w:val="16"/>
              <w:spacing w:before="156" w:beforeLines="50" w:line="24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表3-</w:t>
            </w:r>
            <w:r>
              <w:rPr>
                <w:rFonts w:hint="eastAsia" w:ascii="Times New Roman" w:hAnsi="Times New Roman" w:eastAsia="宋体" w:cs="Times New Roman"/>
                <w:b/>
                <w:bCs/>
                <w:sz w:val="21"/>
                <w:szCs w:val="21"/>
              </w:rPr>
              <w:t>6</w:t>
            </w:r>
            <w:r>
              <w:rPr>
                <w:rFonts w:ascii="Times New Roman" w:hAnsi="Times New Roman" w:eastAsia="宋体" w:cs="Times New Roman"/>
                <w:b/>
                <w:bCs/>
                <w:sz w:val="21"/>
                <w:szCs w:val="21"/>
              </w:rPr>
              <w:t>建筑施工场界环境噪声排放标准单位：Leq[dB（A）]</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2830"/>
              <w:gridCol w:w="3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16"/>
                    <w:spacing w:line="24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序号</w:t>
                  </w:r>
                </w:p>
              </w:tc>
              <w:tc>
                <w:tcPr>
                  <w:tcW w:w="2830" w:type="dxa"/>
                  <w:vAlign w:val="center"/>
                </w:tcPr>
                <w:p>
                  <w:pPr>
                    <w:pStyle w:val="16"/>
                    <w:spacing w:line="24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昼间</w:t>
                  </w:r>
                </w:p>
              </w:tc>
              <w:tc>
                <w:tcPr>
                  <w:tcW w:w="3798" w:type="dxa"/>
                  <w:vAlign w:val="center"/>
                </w:tcPr>
                <w:p>
                  <w:pPr>
                    <w:pStyle w:val="16"/>
                    <w:spacing w:line="24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2830"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70</w:t>
                  </w:r>
                </w:p>
              </w:tc>
              <w:tc>
                <w:tcPr>
                  <w:tcW w:w="3798"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6628" w:type="dxa"/>
                  <w:gridSpan w:val="2"/>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夜间噪声最大声级超过限值的幅度不得高于15dB（A）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6628" w:type="dxa"/>
                  <w:gridSpan w:val="2"/>
                  <w:vAlign w:val="center"/>
                </w:tcPr>
                <w:p>
                  <w:pPr>
                    <w:pStyle w:val="16"/>
                    <w:spacing w:line="240" w:lineRule="auto"/>
                    <w:rPr>
                      <w:rFonts w:ascii="Times New Roman" w:hAnsi="Times New Roman" w:eastAsia="宋体" w:cs="Times New Roman"/>
                      <w:sz w:val="21"/>
                      <w:szCs w:val="21"/>
                    </w:rPr>
                  </w:pPr>
                  <w:r>
                    <w:rPr>
                      <w:rFonts w:ascii="Times New Roman" w:hAnsi="Times New Roman" w:eastAsia="宋体" w:cs="Times New Roman"/>
                      <w:sz w:val="21"/>
                      <w:szCs w:val="21"/>
                    </w:rPr>
                    <w:t>当场界距离噪声敏感建筑物较近，其室外不满足测量条件时，可在噪声敏感建筑物室内测量，并将1中的相应的限值减10dB（A）作为评价依据</w:t>
                  </w:r>
                </w:p>
              </w:tc>
            </w:tr>
          </w:tbl>
          <w:p>
            <w:pPr>
              <w:pStyle w:val="16"/>
              <w:ind w:firstLine="480" w:firstLineChars="200"/>
              <w:jc w:val="left"/>
              <w:rPr>
                <w:rFonts w:ascii="Times New Roman" w:hAnsi="Times New Roman" w:eastAsia="宋体" w:cs="Times New Roman"/>
              </w:rPr>
            </w:pPr>
            <w:r>
              <w:rPr>
                <w:rFonts w:hint="eastAsia" w:ascii="Times New Roman" w:hAnsi="Times New Roman" w:eastAsia="宋体" w:cs="Times New Roman"/>
              </w:rPr>
              <w:t>4）固废</w:t>
            </w:r>
          </w:p>
          <w:p>
            <w:pPr>
              <w:pStyle w:val="16"/>
              <w:ind w:firstLine="480" w:firstLineChars="200"/>
              <w:rPr>
                <w:rFonts w:ascii="Times New Roman" w:hAnsi="Times New Roman" w:eastAsia="宋体" w:cs="Times New Roman"/>
              </w:rPr>
            </w:pPr>
            <w:r>
              <w:rPr>
                <w:rFonts w:ascii="Times New Roman" w:hAnsi="Times New Roman" w:eastAsia="宋体" w:cs="Times New Roman"/>
              </w:rPr>
              <w:t>本项目</w:t>
            </w:r>
            <w:r>
              <w:rPr>
                <w:rFonts w:hint="eastAsia" w:ascii="Times New Roman" w:hAnsi="Times New Roman" w:eastAsia="宋体" w:cs="Times New Roman"/>
              </w:rPr>
              <w:t>施工期一般固废按照</w:t>
            </w:r>
            <w:r>
              <w:rPr>
                <w:rFonts w:ascii="Times New Roman" w:hAnsi="Times New Roman" w:eastAsia="宋体" w:cs="Times New Roman"/>
              </w:rPr>
              <w:t>《中华人民共和国固体废物污染环境防治法》</w:t>
            </w:r>
            <w:r>
              <w:rPr>
                <w:rFonts w:hint="eastAsia" w:ascii="Times New Roman" w:hAnsi="Times New Roman" w:eastAsia="宋体" w:cs="Times New Roman"/>
              </w:rPr>
              <w:t>、《城市建筑垃圾管理规定》等</w:t>
            </w:r>
            <w:r>
              <w:rPr>
                <w:rFonts w:ascii="Times New Roman" w:hAnsi="Times New Roman" w:eastAsia="宋体" w:cs="Times New Roman"/>
              </w:rPr>
              <w:t>管理条款要求执行</w:t>
            </w:r>
            <w:r>
              <w:rPr>
                <w:rFonts w:hint="eastAsia" w:ascii="Times New Roman" w:hAnsi="Times New Roman" w:eastAsia="宋体" w:cs="Times New Roman"/>
              </w:rPr>
              <w:t>。危险废物暂存</w:t>
            </w:r>
            <w:r>
              <w:rPr>
                <w:rFonts w:ascii="Times New Roman" w:hAnsi="Times New Roman" w:eastAsia="宋体" w:cs="Times New Roman"/>
              </w:rPr>
              <w:t>参照执行《危险废物贮存污染控制标准》</w:t>
            </w:r>
            <w:r>
              <w:rPr>
                <w:rFonts w:hint="eastAsia" w:ascii="Times New Roman" w:hAnsi="Times New Roman" w:eastAsia="宋体" w:cs="Times New Roman"/>
              </w:rPr>
              <w:t>（</w:t>
            </w:r>
            <w:r>
              <w:rPr>
                <w:rFonts w:ascii="Times New Roman" w:hAnsi="Times New Roman" w:eastAsia="宋体" w:cs="Times New Roman"/>
              </w:rPr>
              <w:t>GB18597-2023</w:t>
            </w:r>
            <w:r>
              <w:rPr>
                <w:rFonts w:hint="eastAsia" w:ascii="Times New Roman" w:hAnsi="Times New Roman" w:eastAsia="宋体" w:cs="Times New Roman"/>
              </w:rPr>
              <w:t>）</w:t>
            </w:r>
            <w:r>
              <w:rPr>
                <w:rFonts w:ascii="Times New Roman" w:hAnsi="Times New Roman" w:eastAsia="宋体" w:cs="Times New Roman"/>
              </w:rPr>
              <w:t>中的相关规定</w:t>
            </w:r>
            <w:r>
              <w:rPr>
                <w:rFonts w:hint="eastAsia" w:ascii="Times New Roman" w:hAnsi="Times New Roman" w:eastAsia="宋体" w:cs="Times New Roman"/>
              </w:rPr>
              <w:t>。</w:t>
            </w:r>
          </w:p>
          <w:p>
            <w:pPr>
              <w:pStyle w:val="16"/>
              <w:ind w:firstLine="482" w:firstLineChars="200"/>
              <w:jc w:val="left"/>
              <w:rPr>
                <w:rFonts w:ascii="Times New Roman" w:hAnsi="Times New Roman" w:eastAsia="宋体" w:cs="Times New Roman"/>
                <w:b/>
                <w:bCs/>
              </w:rPr>
            </w:pPr>
            <w:r>
              <w:rPr>
                <w:rFonts w:hint="eastAsia" w:ascii="Times New Roman" w:hAnsi="Times New Roman" w:eastAsia="宋体" w:cs="Times New Roman"/>
                <w:b/>
                <w:bCs/>
              </w:rPr>
              <w:t>（</w:t>
            </w:r>
            <w:r>
              <w:rPr>
                <w:rFonts w:ascii="Times New Roman" w:hAnsi="Times New Roman" w:eastAsia="宋体" w:cs="Times New Roman"/>
                <w:b/>
                <w:bCs/>
              </w:rPr>
              <w:t>2</w:t>
            </w:r>
            <w:r>
              <w:rPr>
                <w:rFonts w:hint="eastAsia" w:ascii="Times New Roman" w:hAnsi="Times New Roman" w:eastAsia="宋体" w:cs="Times New Roman"/>
                <w:b/>
                <w:bCs/>
              </w:rPr>
              <w:t>）营运期</w:t>
            </w:r>
          </w:p>
          <w:p>
            <w:pPr>
              <w:pStyle w:val="16"/>
              <w:ind w:firstLine="480" w:firstLineChars="200"/>
              <w:jc w:val="left"/>
              <w:rPr>
                <w:rFonts w:ascii="Times New Roman" w:hAnsi="Times New Roman" w:eastAsia="宋体" w:cs="Times New Roman"/>
              </w:rPr>
            </w:pPr>
            <w:r>
              <w:rPr>
                <w:rFonts w:hint="eastAsia" w:ascii="Times New Roman" w:hAnsi="Times New Roman" w:eastAsia="宋体" w:cs="Times New Roman"/>
              </w:rPr>
              <w:t>1）废气</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地下车库汽车尾气排放执行《大气污染物综合排放标准》（GB16297-1996）新污染源无组织排放监控浓度限值，其中CO参照执行《工作场所有害因素职业接触限值化学有害因素》（GBZ2.1-2007）；实验酸性气体及非甲烷总烃执行《大气污染物综合排放标准》（GB16297-1996）中新污染源大气污染物排放限值二级标准（实验室废气楼顶排放，</w:t>
            </w:r>
            <w:r>
              <w:rPr>
                <w:rFonts w:hint="eastAsia" w:ascii="Times New Roman" w:hAnsi="Times New Roman" w:eastAsia="宋体" w:cs="Times New Roman"/>
                <w:lang w:val="en-US" w:eastAsia="zh-CN"/>
              </w:rPr>
              <w:t>排放</w:t>
            </w:r>
            <w:r>
              <w:rPr>
                <w:rFonts w:hint="eastAsia" w:ascii="Times New Roman" w:hAnsi="Times New Roman" w:eastAsia="宋体" w:cs="Times New Roman"/>
              </w:rPr>
              <w:t>高度为</w:t>
            </w:r>
            <w:r>
              <w:rPr>
                <w:rFonts w:hint="default" w:ascii="Times New Roman" w:hAnsi="Times New Roman" w:eastAsia="宋体" w:cs="Times New Roman"/>
                <w:lang w:val="en-US"/>
              </w:rPr>
              <w:t>2</w:t>
            </w:r>
            <w:r>
              <w:rPr>
                <w:rFonts w:hint="eastAsia" w:ascii="Times New Roman" w:hAnsi="Times New Roman" w:eastAsia="宋体" w:cs="Times New Roman"/>
                <w:lang w:val="en-US" w:eastAsia="zh-CN"/>
              </w:rPr>
              <w:t>0</w:t>
            </w:r>
            <w:r>
              <w:rPr>
                <w:rFonts w:hint="eastAsia" w:ascii="Times New Roman" w:hAnsi="Times New Roman" w:eastAsia="宋体" w:cs="Times New Roman"/>
              </w:rPr>
              <w:t>m）；NH</w:t>
            </w:r>
            <w:r>
              <w:rPr>
                <w:rFonts w:hint="eastAsia" w:ascii="Times New Roman" w:hAnsi="Times New Roman" w:eastAsia="宋体" w:cs="Times New Roman"/>
                <w:vertAlign w:val="subscript"/>
              </w:rPr>
              <w:t>3</w:t>
            </w:r>
            <w:r>
              <w:rPr>
                <w:rFonts w:hint="eastAsia" w:ascii="Times New Roman" w:hAnsi="Times New Roman" w:eastAsia="宋体" w:cs="Times New Roman"/>
              </w:rPr>
              <w:t>、H</w:t>
            </w:r>
            <w:r>
              <w:rPr>
                <w:rFonts w:hint="eastAsia" w:ascii="Times New Roman" w:hAnsi="Times New Roman" w:eastAsia="宋体" w:cs="Times New Roman"/>
                <w:vertAlign w:val="subscript"/>
              </w:rPr>
              <w:t>2</w:t>
            </w:r>
            <w:r>
              <w:rPr>
                <w:rFonts w:hint="eastAsia" w:ascii="Times New Roman" w:hAnsi="Times New Roman" w:eastAsia="宋体" w:cs="Times New Roman"/>
              </w:rPr>
              <w:t>S、臭气浓度执行《恶臭污染物排放标准》（GB14554-93）中的限值；本项目食堂厨房基准灶头数为20个，油烟废气排放参照执行《饮食业油烟排放标准（试行）》（GB18483-2001）大型标准。具体指标见表3-7~3-10。</w:t>
            </w:r>
          </w:p>
          <w:p>
            <w:pPr>
              <w:pStyle w:val="30"/>
              <w:adjustRightInd w:val="0"/>
              <w:snapToGrid w:val="0"/>
              <w:spacing w:before="156" w:beforeLines="50" w:after="0" w:line="240" w:lineRule="auto"/>
              <w:ind w:firstLine="0" w:firstLineChars="0"/>
              <w:jc w:val="center"/>
              <w:rPr>
                <w:rFonts w:eastAsia="宋体"/>
                <w:b/>
                <w:sz w:val="21"/>
                <w:szCs w:val="21"/>
              </w:rPr>
            </w:pPr>
            <w:r>
              <w:rPr>
                <w:rFonts w:eastAsia="宋体"/>
                <w:b/>
                <w:sz w:val="21"/>
                <w:szCs w:val="21"/>
              </w:rPr>
              <w:t>表</w:t>
            </w:r>
            <w:r>
              <w:rPr>
                <w:rFonts w:hint="eastAsia" w:eastAsia="宋体"/>
                <w:b/>
                <w:sz w:val="21"/>
                <w:szCs w:val="21"/>
              </w:rPr>
              <w:t>3-7</w:t>
            </w:r>
            <w:r>
              <w:rPr>
                <w:rFonts w:eastAsia="宋体"/>
                <w:b/>
                <w:sz w:val="21"/>
                <w:szCs w:val="21"/>
              </w:rPr>
              <w:t>《大气污染物综合排放标准》</w:t>
            </w:r>
            <w:r>
              <w:rPr>
                <w:rFonts w:hint="eastAsia" w:eastAsia="宋体"/>
                <w:b/>
                <w:sz w:val="21"/>
                <w:szCs w:val="21"/>
              </w:rPr>
              <w:t>（</w:t>
            </w:r>
            <w:r>
              <w:rPr>
                <w:rFonts w:eastAsia="宋体"/>
                <w:b/>
                <w:sz w:val="21"/>
                <w:szCs w:val="21"/>
              </w:rPr>
              <w:t>GB16297-1996</w:t>
            </w:r>
            <w:r>
              <w:rPr>
                <w:rFonts w:hint="eastAsia" w:eastAsia="宋体"/>
                <w:b/>
                <w:sz w:val="21"/>
                <w:szCs w:val="21"/>
              </w:rPr>
              <w:t>）</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1230"/>
              <w:gridCol w:w="1575"/>
              <w:gridCol w:w="1068"/>
              <w:gridCol w:w="1917"/>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3" w:type="dxa"/>
                  <w:vMerge w:val="restart"/>
                  <w:vAlign w:val="center"/>
                </w:tcPr>
                <w:p>
                  <w:pPr>
                    <w:spacing w:line="240" w:lineRule="auto"/>
                    <w:jc w:val="center"/>
                    <w:rPr>
                      <w:rFonts w:eastAsia="宋体"/>
                      <w:b/>
                      <w:bCs/>
                      <w:snapToGrid w:val="0"/>
                      <w:kern w:val="0"/>
                      <w:sz w:val="21"/>
                      <w:szCs w:val="21"/>
                    </w:rPr>
                  </w:pPr>
                  <w:r>
                    <w:rPr>
                      <w:rFonts w:eastAsia="宋体"/>
                      <w:b/>
                      <w:bCs/>
                      <w:snapToGrid w:val="0"/>
                      <w:kern w:val="0"/>
                      <w:sz w:val="21"/>
                      <w:szCs w:val="21"/>
                    </w:rPr>
                    <w:t>污染物</w:t>
                  </w:r>
                </w:p>
              </w:tc>
              <w:tc>
                <w:tcPr>
                  <w:tcW w:w="1230" w:type="dxa"/>
                  <w:vMerge w:val="restart"/>
                  <w:vAlign w:val="center"/>
                </w:tcPr>
                <w:p>
                  <w:pPr>
                    <w:spacing w:line="240" w:lineRule="auto"/>
                    <w:jc w:val="center"/>
                    <w:rPr>
                      <w:rFonts w:eastAsia="宋体"/>
                      <w:b/>
                      <w:bCs/>
                      <w:snapToGrid w:val="0"/>
                      <w:kern w:val="0"/>
                      <w:sz w:val="21"/>
                      <w:szCs w:val="21"/>
                    </w:rPr>
                  </w:pPr>
                  <w:r>
                    <w:rPr>
                      <w:rFonts w:eastAsia="宋体"/>
                      <w:b/>
                      <w:bCs/>
                      <w:snapToGrid w:val="0"/>
                      <w:kern w:val="0"/>
                      <w:sz w:val="21"/>
                      <w:szCs w:val="21"/>
                    </w:rPr>
                    <w:t>最高允许排放浓度（mg/m</w:t>
                  </w:r>
                  <w:r>
                    <w:rPr>
                      <w:rFonts w:eastAsia="宋体"/>
                      <w:b/>
                      <w:bCs/>
                      <w:snapToGrid w:val="0"/>
                      <w:kern w:val="0"/>
                      <w:sz w:val="21"/>
                      <w:szCs w:val="21"/>
                      <w:vertAlign w:val="superscript"/>
                    </w:rPr>
                    <w:t>3</w:t>
                  </w:r>
                  <w:r>
                    <w:rPr>
                      <w:rFonts w:eastAsia="宋体"/>
                      <w:b/>
                      <w:bCs/>
                      <w:snapToGrid w:val="0"/>
                      <w:kern w:val="0"/>
                      <w:sz w:val="21"/>
                      <w:szCs w:val="21"/>
                    </w:rPr>
                    <w:t>）</w:t>
                  </w:r>
                </w:p>
              </w:tc>
              <w:tc>
                <w:tcPr>
                  <w:tcW w:w="2643" w:type="dxa"/>
                  <w:gridSpan w:val="2"/>
                  <w:vAlign w:val="center"/>
                </w:tcPr>
                <w:p>
                  <w:pPr>
                    <w:spacing w:line="240" w:lineRule="auto"/>
                    <w:jc w:val="center"/>
                    <w:rPr>
                      <w:rFonts w:eastAsia="宋体"/>
                      <w:b/>
                      <w:bCs/>
                      <w:snapToGrid w:val="0"/>
                      <w:kern w:val="0"/>
                      <w:sz w:val="21"/>
                      <w:szCs w:val="21"/>
                    </w:rPr>
                  </w:pPr>
                  <w:r>
                    <w:rPr>
                      <w:rFonts w:eastAsia="宋体"/>
                      <w:b/>
                      <w:bCs/>
                      <w:snapToGrid w:val="0"/>
                      <w:kern w:val="0"/>
                      <w:sz w:val="21"/>
                      <w:szCs w:val="21"/>
                    </w:rPr>
                    <w:t>最高允许排放速率（kg/h）</w:t>
                  </w:r>
                </w:p>
              </w:tc>
              <w:tc>
                <w:tcPr>
                  <w:tcW w:w="2732" w:type="dxa"/>
                  <w:gridSpan w:val="2"/>
                  <w:vAlign w:val="center"/>
                </w:tcPr>
                <w:p>
                  <w:pPr>
                    <w:spacing w:line="240" w:lineRule="auto"/>
                    <w:jc w:val="center"/>
                    <w:rPr>
                      <w:rFonts w:eastAsia="宋体"/>
                      <w:b/>
                      <w:bCs/>
                      <w:snapToGrid w:val="0"/>
                      <w:kern w:val="0"/>
                      <w:sz w:val="21"/>
                      <w:szCs w:val="21"/>
                    </w:rPr>
                  </w:pPr>
                  <w:r>
                    <w:rPr>
                      <w:rFonts w:eastAsia="宋体"/>
                      <w:b/>
                      <w:bCs/>
                      <w:snapToGrid w:val="0"/>
                      <w:kern w:val="0"/>
                      <w:sz w:val="21"/>
                      <w:szCs w:val="21"/>
                    </w:rPr>
                    <w:t>无组织排放监控浓度限值（mg/m</w:t>
                  </w:r>
                  <w:r>
                    <w:rPr>
                      <w:rFonts w:eastAsia="宋体"/>
                      <w:b/>
                      <w:bCs/>
                      <w:snapToGrid w:val="0"/>
                      <w:kern w:val="0"/>
                      <w:sz w:val="21"/>
                      <w:szCs w:val="21"/>
                      <w:vertAlign w:val="superscript"/>
                    </w:rPr>
                    <w:t>3</w:t>
                  </w:r>
                  <w:r>
                    <w:rPr>
                      <w:rFonts w:eastAsia="宋体"/>
                      <w:b/>
                      <w:bCs/>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3" w:type="dxa"/>
                  <w:vMerge w:val="continue"/>
                  <w:vAlign w:val="center"/>
                </w:tcPr>
                <w:p>
                  <w:pPr>
                    <w:spacing w:line="240" w:lineRule="auto"/>
                    <w:jc w:val="center"/>
                    <w:rPr>
                      <w:rFonts w:eastAsia="宋体"/>
                      <w:b/>
                      <w:bCs/>
                      <w:snapToGrid w:val="0"/>
                      <w:kern w:val="0"/>
                      <w:sz w:val="21"/>
                      <w:szCs w:val="21"/>
                    </w:rPr>
                  </w:pPr>
                </w:p>
              </w:tc>
              <w:tc>
                <w:tcPr>
                  <w:tcW w:w="1230" w:type="dxa"/>
                  <w:vMerge w:val="continue"/>
                  <w:vAlign w:val="center"/>
                </w:tcPr>
                <w:p>
                  <w:pPr>
                    <w:spacing w:line="240" w:lineRule="auto"/>
                    <w:jc w:val="center"/>
                    <w:rPr>
                      <w:rFonts w:eastAsia="宋体"/>
                      <w:b/>
                      <w:bCs/>
                      <w:snapToGrid w:val="0"/>
                      <w:kern w:val="0"/>
                      <w:sz w:val="21"/>
                      <w:szCs w:val="21"/>
                    </w:rPr>
                  </w:pPr>
                </w:p>
              </w:tc>
              <w:tc>
                <w:tcPr>
                  <w:tcW w:w="1575" w:type="dxa"/>
                  <w:vAlign w:val="center"/>
                </w:tcPr>
                <w:p>
                  <w:pPr>
                    <w:spacing w:line="240" w:lineRule="auto"/>
                    <w:jc w:val="center"/>
                    <w:rPr>
                      <w:rFonts w:eastAsia="宋体"/>
                      <w:b/>
                      <w:bCs/>
                      <w:snapToGrid w:val="0"/>
                      <w:kern w:val="0"/>
                      <w:sz w:val="21"/>
                      <w:szCs w:val="21"/>
                    </w:rPr>
                  </w:pPr>
                  <w:r>
                    <w:rPr>
                      <w:rFonts w:eastAsia="宋体"/>
                      <w:b/>
                      <w:bCs/>
                      <w:snapToGrid w:val="0"/>
                      <w:kern w:val="0"/>
                      <w:sz w:val="21"/>
                      <w:szCs w:val="21"/>
                    </w:rPr>
                    <w:t>排气筒高度（m）</w:t>
                  </w:r>
                </w:p>
              </w:tc>
              <w:tc>
                <w:tcPr>
                  <w:tcW w:w="1068" w:type="dxa"/>
                  <w:vAlign w:val="center"/>
                </w:tcPr>
                <w:p>
                  <w:pPr>
                    <w:spacing w:line="240" w:lineRule="auto"/>
                    <w:jc w:val="center"/>
                    <w:rPr>
                      <w:rFonts w:eastAsia="宋体"/>
                      <w:b/>
                      <w:bCs/>
                      <w:snapToGrid w:val="0"/>
                      <w:kern w:val="0"/>
                      <w:sz w:val="21"/>
                      <w:szCs w:val="21"/>
                    </w:rPr>
                  </w:pPr>
                  <w:r>
                    <w:rPr>
                      <w:rFonts w:eastAsia="宋体"/>
                      <w:b/>
                      <w:bCs/>
                      <w:snapToGrid w:val="0"/>
                      <w:kern w:val="0"/>
                      <w:sz w:val="21"/>
                      <w:szCs w:val="21"/>
                    </w:rPr>
                    <w:t>二级</w:t>
                  </w:r>
                </w:p>
              </w:tc>
              <w:tc>
                <w:tcPr>
                  <w:tcW w:w="1917" w:type="dxa"/>
                  <w:vAlign w:val="center"/>
                </w:tcPr>
                <w:p>
                  <w:pPr>
                    <w:spacing w:line="240" w:lineRule="auto"/>
                    <w:jc w:val="center"/>
                    <w:rPr>
                      <w:rFonts w:eastAsia="宋体"/>
                      <w:b/>
                      <w:bCs/>
                      <w:snapToGrid w:val="0"/>
                      <w:kern w:val="0"/>
                      <w:sz w:val="21"/>
                      <w:szCs w:val="21"/>
                    </w:rPr>
                  </w:pPr>
                  <w:r>
                    <w:rPr>
                      <w:rFonts w:eastAsia="宋体"/>
                      <w:b/>
                      <w:bCs/>
                      <w:snapToGrid w:val="0"/>
                      <w:kern w:val="0"/>
                      <w:sz w:val="21"/>
                      <w:szCs w:val="21"/>
                    </w:rPr>
                    <w:t>监控点</w:t>
                  </w:r>
                </w:p>
              </w:tc>
              <w:tc>
                <w:tcPr>
                  <w:tcW w:w="815" w:type="dxa"/>
                  <w:vAlign w:val="center"/>
                </w:tcPr>
                <w:p>
                  <w:pPr>
                    <w:spacing w:line="240" w:lineRule="auto"/>
                    <w:jc w:val="center"/>
                    <w:rPr>
                      <w:rFonts w:eastAsia="宋体"/>
                      <w:b/>
                      <w:bCs/>
                      <w:snapToGrid w:val="0"/>
                      <w:kern w:val="0"/>
                      <w:sz w:val="21"/>
                      <w:szCs w:val="21"/>
                    </w:rPr>
                  </w:pPr>
                  <w:r>
                    <w:rPr>
                      <w:rFonts w:eastAsia="宋体"/>
                      <w:b/>
                      <w:bCs/>
                      <w:snapToGrid w:val="0"/>
                      <w:kern w:val="0"/>
                      <w:sz w:val="21"/>
                      <w:szCs w:val="21"/>
                    </w:rPr>
                    <w:t>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3" w:type="dxa"/>
                  <w:vMerge w:val="restart"/>
                  <w:vAlign w:val="center"/>
                </w:tcPr>
                <w:p>
                  <w:pPr>
                    <w:spacing w:line="240" w:lineRule="auto"/>
                    <w:jc w:val="center"/>
                    <w:rPr>
                      <w:rFonts w:eastAsia="宋体"/>
                      <w:snapToGrid w:val="0"/>
                      <w:kern w:val="0"/>
                      <w:sz w:val="21"/>
                      <w:szCs w:val="21"/>
                    </w:rPr>
                  </w:pPr>
                  <w:r>
                    <w:rPr>
                      <w:rFonts w:hint="eastAsia" w:eastAsia="宋体"/>
                      <w:snapToGrid w:val="0"/>
                      <w:kern w:val="0"/>
                      <w:sz w:val="21"/>
                      <w:szCs w:val="21"/>
                    </w:rPr>
                    <w:t>NO</w:t>
                  </w:r>
                  <w:r>
                    <w:rPr>
                      <w:rFonts w:hint="eastAsia" w:eastAsia="宋体"/>
                      <w:snapToGrid w:val="0"/>
                      <w:kern w:val="0"/>
                      <w:sz w:val="21"/>
                      <w:szCs w:val="21"/>
                      <w:vertAlign w:val="subscript"/>
                    </w:rPr>
                    <w:t>X</w:t>
                  </w:r>
                </w:p>
              </w:tc>
              <w:tc>
                <w:tcPr>
                  <w:tcW w:w="1230" w:type="dxa"/>
                  <w:vMerge w:val="restart"/>
                  <w:vAlign w:val="center"/>
                </w:tcPr>
                <w:p>
                  <w:pPr>
                    <w:widowControl/>
                    <w:spacing w:line="240" w:lineRule="auto"/>
                    <w:jc w:val="center"/>
                    <w:rPr>
                      <w:rFonts w:eastAsia="宋体"/>
                      <w:snapToGrid w:val="0"/>
                      <w:kern w:val="0"/>
                      <w:sz w:val="21"/>
                      <w:szCs w:val="21"/>
                    </w:rPr>
                  </w:pPr>
                  <w:r>
                    <w:rPr>
                      <w:rFonts w:hint="eastAsia" w:eastAsia="宋体"/>
                      <w:snapToGrid w:val="0"/>
                      <w:kern w:val="0"/>
                      <w:sz w:val="21"/>
                      <w:szCs w:val="21"/>
                    </w:rPr>
                    <w:t>240</w:t>
                  </w:r>
                </w:p>
              </w:tc>
              <w:tc>
                <w:tcPr>
                  <w:tcW w:w="1575" w:type="dxa"/>
                  <w:vAlign w:val="center"/>
                </w:tcPr>
                <w:p>
                  <w:pPr>
                    <w:spacing w:line="240" w:lineRule="auto"/>
                    <w:jc w:val="center"/>
                    <w:rPr>
                      <w:rFonts w:eastAsia="宋体"/>
                      <w:snapToGrid w:val="0"/>
                      <w:kern w:val="0"/>
                      <w:sz w:val="21"/>
                      <w:szCs w:val="21"/>
                    </w:rPr>
                  </w:pPr>
                  <w:r>
                    <w:rPr>
                      <w:rFonts w:eastAsia="宋体"/>
                      <w:snapToGrid w:val="0"/>
                      <w:kern w:val="0"/>
                      <w:sz w:val="21"/>
                      <w:szCs w:val="21"/>
                    </w:rPr>
                    <w:t>20</w:t>
                  </w:r>
                </w:p>
              </w:tc>
              <w:tc>
                <w:tcPr>
                  <w:tcW w:w="1068" w:type="dxa"/>
                  <w:vAlign w:val="center"/>
                </w:tcPr>
                <w:p>
                  <w:pPr>
                    <w:widowControl/>
                    <w:spacing w:line="240" w:lineRule="auto"/>
                    <w:jc w:val="center"/>
                    <w:textAlignment w:val="center"/>
                    <w:rPr>
                      <w:rFonts w:hint="default" w:eastAsia="宋体"/>
                      <w:snapToGrid w:val="0"/>
                      <w:kern w:val="0"/>
                      <w:sz w:val="21"/>
                      <w:szCs w:val="21"/>
                    </w:rPr>
                  </w:pPr>
                  <w:r>
                    <w:rPr>
                      <w:rFonts w:hint="eastAsia" w:eastAsia="宋体"/>
                      <w:kern w:val="0"/>
                      <w:sz w:val="21"/>
                      <w:szCs w:val="21"/>
                      <w:lang w:eastAsia="zh-CN"/>
                    </w:rPr>
                    <w:t>1</w:t>
                  </w:r>
                  <w:r>
                    <w:rPr>
                      <w:rFonts w:hint="eastAsia" w:eastAsia="宋体"/>
                      <w:kern w:val="0"/>
                      <w:sz w:val="21"/>
                      <w:szCs w:val="21"/>
                      <w:lang w:val="en-US" w:eastAsia="zh-CN"/>
                    </w:rPr>
                    <w:t>.300</w:t>
                  </w:r>
                </w:p>
              </w:tc>
              <w:tc>
                <w:tcPr>
                  <w:tcW w:w="1917" w:type="dxa"/>
                  <w:vMerge w:val="restart"/>
                  <w:vAlign w:val="center"/>
                </w:tcPr>
                <w:p>
                  <w:pPr>
                    <w:spacing w:line="240" w:lineRule="auto"/>
                    <w:jc w:val="center"/>
                    <w:rPr>
                      <w:rFonts w:eastAsia="宋体"/>
                      <w:snapToGrid w:val="0"/>
                      <w:kern w:val="0"/>
                      <w:sz w:val="21"/>
                      <w:szCs w:val="21"/>
                    </w:rPr>
                  </w:pPr>
                  <w:r>
                    <w:rPr>
                      <w:rFonts w:eastAsia="宋体"/>
                      <w:snapToGrid w:val="0"/>
                      <w:kern w:val="0"/>
                      <w:sz w:val="21"/>
                      <w:szCs w:val="21"/>
                    </w:rPr>
                    <w:t>周界外浓度最高点</w:t>
                  </w:r>
                </w:p>
              </w:tc>
              <w:tc>
                <w:tcPr>
                  <w:tcW w:w="815" w:type="dxa"/>
                  <w:vMerge w:val="restart"/>
                  <w:vAlign w:val="center"/>
                </w:tcPr>
                <w:p>
                  <w:pPr>
                    <w:spacing w:line="240" w:lineRule="auto"/>
                    <w:jc w:val="center"/>
                    <w:rPr>
                      <w:rFonts w:eastAsia="宋体"/>
                      <w:snapToGrid w:val="0"/>
                      <w:kern w:val="0"/>
                      <w:sz w:val="21"/>
                      <w:szCs w:val="21"/>
                    </w:rPr>
                  </w:pPr>
                  <w:r>
                    <w:rPr>
                      <w:rFonts w:hint="eastAsia" w:eastAsia="宋体"/>
                      <w:snapToGrid w:val="0"/>
                      <w:kern w:val="0"/>
                      <w:sz w:val="21"/>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3" w:type="dxa"/>
                  <w:vMerge w:val="restart"/>
                  <w:vAlign w:val="center"/>
                </w:tcPr>
                <w:p>
                  <w:pPr>
                    <w:spacing w:line="240" w:lineRule="auto"/>
                    <w:jc w:val="center"/>
                    <w:rPr>
                      <w:rFonts w:eastAsia="宋体"/>
                      <w:snapToGrid w:val="0"/>
                      <w:kern w:val="0"/>
                      <w:sz w:val="21"/>
                      <w:szCs w:val="21"/>
                    </w:rPr>
                  </w:pPr>
                  <w:r>
                    <w:rPr>
                      <w:rFonts w:eastAsia="宋体"/>
                      <w:sz w:val="21"/>
                      <w:szCs w:val="21"/>
                    </w:rPr>
                    <w:t>氯化氢</w:t>
                  </w:r>
                </w:p>
              </w:tc>
              <w:tc>
                <w:tcPr>
                  <w:tcW w:w="1230" w:type="dxa"/>
                  <w:vMerge w:val="restart"/>
                  <w:vAlign w:val="center"/>
                </w:tcPr>
                <w:p>
                  <w:pPr>
                    <w:spacing w:line="240" w:lineRule="auto"/>
                    <w:jc w:val="center"/>
                    <w:rPr>
                      <w:rFonts w:eastAsia="宋体"/>
                      <w:snapToGrid w:val="0"/>
                      <w:kern w:val="0"/>
                      <w:sz w:val="21"/>
                      <w:szCs w:val="21"/>
                    </w:rPr>
                  </w:pPr>
                  <w:r>
                    <w:rPr>
                      <w:rFonts w:eastAsia="宋体"/>
                      <w:snapToGrid w:val="0"/>
                      <w:kern w:val="0"/>
                      <w:sz w:val="21"/>
                      <w:szCs w:val="21"/>
                    </w:rPr>
                    <w:t>100</w:t>
                  </w:r>
                </w:p>
              </w:tc>
              <w:tc>
                <w:tcPr>
                  <w:tcW w:w="1575" w:type="dxa"/>
                  <w:vAlign w:val="center"/>
                </w:tcPr>
                <w:p>
                  <w:pPr>
                    <w:spacing w:line="240" w:lineRule="auto"/>
                    <w:jc w:val="center"/>
                    <w:rPr>
                      <w:rFonts w:eastAsia="宋体"/>
                      <w:snapToGrid w:val="0"/>
                      <w:kern w:val="0"/>
                      <w:sz w:val="21"/>
                      <w:szCs w:val="21"/>
                    </w:rPr>
                  </w:pPr>
                  <w:r>
                    <w:rPr>
                      <w:rFonts w:eastAsia="宋体"/>
                      <w:snapToGrid w:val="0"/>
                      <w:kern w:val="0"/>
                      <w:sz w:val="21"/>
                      <w:szCs w:val="21"/>
                    </w:rPr>
                    <w:t>20</w:t>
                  </w:r>
                </w:p>
              </w:tc>
              <w:tc>
                <w:tcPr>
                  <w:tcW w:w="1068" w:type="dxa"/>
                  <w:vAlign w:val="center"/>
                </w:tcPr>
                <w:p>
                  <w:pPr>
                    <w:widowControl/>
                    <w:spacing w:line="240" w:lineRule="auto"/>
                    <w:jc w:val="center"/>
                    <w:textAlignment w:val="center"/>
                    <w:rPr>
                      <w:rFonts w:hint="default" w:eastAsia="宋体"/>
                      <w:snapToGrid w:val="0"/>
                      <w:kern w:val="0"/>
                      <w:sz w:val="21"/>
                      <w:szCs w:val="21"/>
                    </w:rPr>
                  </w:pPr>
                  <w:r>
                    <w:rPr>
                      <w:rFonts w:hint="eastAsia" w:eastAsia="宋体"/>
                      <w:kern w:val="0"/>
                      <w:sz w:val="21"/>
                      <w:szCs w:val="21"/>
                      <w:lang w:eastAsia="zh-CN"/>
                    </w:rPr>
                    <w:t>0</w:t>
                  </w:r>
                  <w:r>
                    <w:rPr>
                      <w:rFonts w:hint="eastAsia" w:eastAsia="宋体"/>
                      <w:kern w:val="0"/>
                      <w:sz w:val="21"/>
                      <w:szCs w:val="21"/>
                      <w:lang w:val="en-US" w:eastAsia="zh-CN"/>
                    </w:rPr>
                    <w:t>.430</w:t>
                  </w:r>
                </w:p>
              </w:tc>
              <w:tc>
                <w:tcPr>
                  <w:tcW w:w="1917" w:type="dxa"/>
                  <w:vMerge w:val="restart"/>
                  <w:vAlign w:val="center"/>
                </w:tcPr>
                <w:p>
                  <w:pPr>
                    <w:spacing w:line="240" w:lineRule="auto"/>
                    <w:jc w:val="center"/>
                    <w:rPr>
                      <w:rFonts w:eastAsia="宋体"/>
                      <w:sz w:val="21"/>
                      <w:szCs w:val="21"/>
                    </w:rPr>
                  </w:pPr>
                  <w:r>
                    <w:rPr>
                      <w:rFonts w:eastAsia="宋体"/>
                      <w:snapToGrid w:val="0"/>
                      <w:kern w:val="0"/>
                      <w:sz w:val="21"/>
                      <w:szCs w:val="21"/>
                    </w:rPr>
                    <w:t>周界外浓度最高点</w:t>
                  </w:r>
                </w:p>
              </w:tc>
              <w:tc>
                <w:tcPr>
                  <w:tcW w:w="815" w:type="dxa"/>
                  <w:vMerge w:val="restart"/>
                  <w:vAlign w:val="center"/>
                </w:tcPr>
                <w:p>
                  <w:pPr>
                    <w:spacing w:line="240" w:lineRule="auto"/>
                    <w:jc w:val="center"/>
                    <w:rPr>
                      <w:rFonts w:eastAsia="宋体"/>
                      <w:snapToGrid w:val="0"/>
                      <w:kern w:val="0"/>
                      <w:sz w:val="21"/>
                      <w:szCs w:val="21"/>
                    </w:rPr>
                  </w:pPr>
                  <w:r>
                    <w:rPr>
                      <w:rFonts w:eastAsia="宋体"/>
                      <w:snapToGrid w:val="0"/>
                      <w:kern w:val="0"/>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3" w:type="dxa"/>
                  <w:vMerge w:val="restart"/>
                  <w:vAlign w:val="center"/>
                </w:tcPr>
                <w:p>
                  <w:pPr>
                    <w:spacing w:line="240" w:lineRule="auto"/>
                    <w:jc w:val="center"/>
                    <w:rPr>
                      <w:rFonts w:eastAsia="宋体"/>
                      <w:snapToGrid w:val="0"/>
                      <w:kern w:val="0"/>
                      <w:sz w:val="21"/>
                      <w:szCs w:val="21"/>
                    </w:rPr>
                  </w:pPr>
                  <w:r>
                    <w:rPr>
                      <w:rFonts w:eastAsia="宋体"/>
                      <w:sz w:val="21"/>
                      <w:szCs w:val="21"/>
                    </w:rPr>
                    <w:t>硫酸雾</w:t>
                  </w:r>
                </w:p>
              </w:tc>
              <w:tc>
                <w:tcPr>
                  <w:tcW w:w="1230" w:type="dxa"/>
                  <w:vMerge w:val="restart"/>
                  <w:vAlign w:val="center"/>
                </w:tcPr>
                <w:p>
                  <w:pPr>
                    <w:spacing w:line="240" w:lineRule="auto"/>
                    <w:jc w:val="center"/>
                    <w:rPr>
                      <w:rFonts w:eastAsia="宋体"/>
                      <w:snapToGrid w:val="0"/>
                      <w:kern w:val="0"/>
                      <w:sz w:val="21"/>
                      <w:szCs w:val="21"/>
                    </w:rPr>
                  </w:pPr>
                  <w:r>
                    <w:rPr>
                      <w:rFonts w:eastAsia="宋体"/>
                      <w:snapToGrid w:val="0"/>
                      <w:kern w:val="0"/>
                      <w:sz w:val="21"/>
                      <w:szCs w:val="21"/>
                    </w:rPr>
                    <w:t>45</w:t>
                  </w:r>
                </w:p>
              </w:tc>
              <w:tc>
                <w:tcPr>
                  <w:tcW w:w="1575" w:type="dxa"/>
                  <w:vAlign w:val="center"/>
                </w:tcPr>
                <w:p>
                  <w:pPr>
                    <w:spacing w:line="240" w:lineRule="auto"/>
                    <w:jc w:val="center"/>
                    <w:rPr>
                      <w:rFonts w:eastAsia="宋体"/>
                      <w:snapToGrid w:val="0"/>
                      <w:kern w:val="0"/>
                      <w:sz w:val="21"/>
                      <w:szCs w:val="21"/>
                    </w:rPr>
                  </w:pPr>
                  <w:r>
                    <w:rPr>
                      <w:rFonts w:eastAsia="宋体"/>
                      <w:snapToGrid w:val="0"/>
                      <w:kern w:val="0"/>
                      <w:sz w:val="21"/>
                      <w:szCs w:val="21"/>
                    </w:rPr>
                    <w:t>20</w:t>
                  </w:r>
                </w:p>
              </w:tc>
              <w:tc>
                <w:tcPr>
                  <w:tcW w:w="1068" w:type="dxa"/>
                  <w:vAlign w:val="center"/>
                </w:tcPr>
                <w:p>
                  <w:pPr>
                    <w:widowControl/>
                    <w:spacing w:line="240" w:lineRule="auto"/>
                    <w:jc w:val="center"/>
                    <w:textAlignment w:val="center"/>
                    <w:rPr>
                      <w:rFonts w:hint="default" w:eastAsia="宋体"/>
                      <w:snapToGrid w:val="0"/>
                      <w:kern w:val="0"/>
                      <w:sz w:val="21"/>
                      <w:szCs w:val="21"/>
                    </w:rPr>
                  </w:pPr>
                  <w:r>
                    <w:rPr>
                      <w:rFonts w:hint="eastAsia" w:eastAsia="宋体"/>
                      <w:kern w:val="0"/>
                      <w:sz w:val="21"/>
                      <w:szCs w:val="21"/>
                      <w:lang w:eastAsia="zh-CN"/>
                    </w:rPr>
                    <w:t>2</w:t>
                  </w:r>
                  <w:r>
                    <w:rPr>
                      <w:rFonts w:hint="eastAsia" w:eastAsia="宋体"/>
                      <w:kern w:val="0"/>
                      <w:sz w:val="21"/>
                      <w:szCs w:val="21"/>
                      <w:lang w:val="en-US" w:eastAsia="zh-CN"/>
                    </w:rPr>
                    <w:t>.600</w:t>
                  </w:r>
                </w:p>
              </w:tc>
              <w:tc>
                <w:tcPr>
                  <w:tcW w:w="1917" w:type="dxa"/>
                  <w:vMerge w:val="restart"/>
                  <w:vAlign w:val="center"/>
                </w:tcPr>
                <w:p>
                  <w:pPr>
                    <w:spacing w:line="240" w:lineRule="auto"/>
                    <w:jc w:val="center"/>
                    <w:rPr>
                      <w:rFonts w:eastAsia="宋体"/>
                      <w:snapToGrid w:val="0"/>
                      <w:kern w:val="0"/>
                      <w:sz w:val="21"/>
                      <w:szCs w:val="21"/>
                    </w:rPr>
                  </w:pPr>
                  <w:r>
                    <w:rPr>
                      <w:rFonts w:eastAsia="宋体"/>
                      <w:snapToGrid w:val="0"/>
                      <w:kern w:val="0"/>
                      <w:sz w:val="21"/>
                      <w:szCs w:val="21"/>
                    </w:rPr>
                    <w:t>周界外浓度最高点</w:t>
                  </w:r>
                </w:p>
              </w:tc>
              <w:tc>
                <w:tcPr>
                  <w:tcW w:w="815" w:type="dxa"/>
                  <w:vMerge w:val="restart"/>
                  <w:vAlign w:val="center"/>
                </w:tcPr>
                <w:p>
                  <w:pPr>
                    <w:spacing w:line="240" w:lineRule="auto"/>
                    <w:jc w:val="center"/>
                    <w:rPr>
                      <w:rFonts w:eastAsia="宋体"/>
                      <w:snapToGrid w:val="0"/>
                      <w:kern w:val="0"/>
                      <w:sz w:val="21"/>
                      <w:szCs w:val="21"/>
                    </w:rPr>
                  </w:pPr>
                  <w:r>
                    <w:rPr>
                      <w:rFonts w:eastAsia="宋体"/>
                      <w:snapToGrid w:val="0"/>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3" w:type="dxa"/>
                  <w:vAlign w:val="center"/>
                </w:tcPr>
                <w:p>
                  <w:pPr>
                    <w:spacing w:line="240" w:lineRule="auto"/>
                    <w:jc w:val="center"/>
                    <w:rPr>
                      <w:rFonts w:eastAsia="宋体"/>
                      <w:snapToGrid w:val="0"/>
                      <w:kern w:val="0"/>
                      <w:sz w:val="21"/>
                      <w:szCs w:val="21"/>
                    </w:rPr>
                  </w:pPr>
                  <w:r>
                    <w:rPr>
                      <w:rFonts w:hint="eastAsia" w:eastAsia="宋体"/>
                      <w:snapToGrid w:val="0"/>
                      <w:kern w:val="0"/>
                      <w:sz w:val="21"/>
                      <w:szCs w:val="21"/>
                    </w:rPr>
                    <w:t>非甲烷总烃</w:t>
                  </w:r>
                </w:p>
              </w:tc>
              <w:tc>
                <w:tcPr>
                  <w:tcW w:w="1230" w:type="dxa"/>
                  <w:vAlign w:val="center"/>
                </w:tcPr>
                <w:p>
                  <w:pPr>
                    <w:spacing w:line="240" w:lineRule="auto"/>
                    <w:jc w:val="center"/>
                    <w:rPr>
                      <w:rFonts w:eastAsia="宋体"/>
                      <w:snapToGrid w:val="0"/>
                      <w:kern w:val="0"/>
                      <w:sz w:val="21"/>
                      <w:szCs w:val="21"/>
                    </w:rPr>
                  </w:pPr>
                  <w:r>
                    <w:rPr>
                      <w:rFonts w:hint="eastAsia" w:eastAsia="宋体"/>
                      <w:snapToGrid w:val="0"/>
                      <w:kern w:val="0"/>
                      <w:sz w:val="21"/>
                      <w:szCs w:val="21"/>
                    </w:rPr>
                    <w:t>1</w:t>
                  </w:r>
                  <w:r>
                    <w:rPr>
                      <w:rFonts w:eastAsia="宋体"/>
                      <w:snapToGrid w:val="0"/>
                      <w:kern w:val="0"/>
                      <w:sz w:val="21"/>
                      <w:szCs w:val="21"/>
                    </w:rPr>
                    <w:t>20</w:t>
                  </w:r>
                </w:p>
              </w:tc>
              <w:tc>
                <w:tcPr>
                  <w:tcW w:w="1575" w:type="dxa"/>
                  <w:vAlign w:val="center"/>
                </w:tcPr>
                <w:p>
                  <w:pPr>
                    <w:spacing w:line="240" w:lineRule="auto"/>
                    <w:jc w:val="center"/>
                    <w:rPr>
                      <w:rFonts w:eastAsia="宋体"/>
                      <w:snapToGrid w:val="0"/>
                      <w:kern w:val="0"/>
                      <w:sz w:val="21"/>
                      <w:szCs w:val="21"/>
                    </w:rPr>
                  </w:pPr>
                  <w:r>
                    <w:rPr>
                      <w:rFonts w:hint="eastAsia" w:eastAsia="宋体"/>
                      <w:snapToGrid w:val="0"/>
                      <w:kern w:val="0"/>
                      <w:sz w:val="21"/>
                      <w:szCs w:val="21"/>
                    </w:rPr>
                    <w:t>2</w:t>
                  </w:r>
                  <w:r>
                    <w:rPr>
                      <w:rFonts w:eastAsia="宋体"/>
                      <w:snapToGrid w:val="0"/>
                      <w:kern w:val="0"/>
                      <w:sz w:val="21"/>
                      <w:szCs w:val="21"/>
                    </w:rPr>
                    <w:t>0</w:t>
                  </w:r>
                </w:p>
              </w:tc>
              <w:tc>
                <w:tcPr>
                  <w:tcW w:w="1068" w:type="dxa"/>
                  <w:vAlign w:val="center"/>
                </w:tcPr>
                <w:p>
                  <w:pPr>
                    <w:widowControl/>
                    <w:spacing w:line="240" w:lineRule="auto"/>
                    <w:jc w:val="center"/>
                    <w:textAlignment w:val="center"/>
                    <w:rPr>
                      <w:rFonts w:hint="default" w:eastAsia="宋体"/>
                      <w:kern w:val="0"/>
                      <w:sz w:val="21"/>
                      <w:szCs w:val="21"/>
                      <w:lang w:val="en-US" w:eastAsia="zh-CN" w:bidi="ar"/>
                    </w:rPr>
                  </w:pPr>
                  <w:r>
                    <w:rPr>
                      <w:rFonts w:hint="eastAsia" w:eastAsia="宋体"/>
                      <w:kern w:val="0"/>
                      <w:sz w:val="21"/>
                      <w:szCs w:val="21"/>
                      <w:lang w:val="en-US" w:eastAsia="zh-CN" w:bidi="ar"/>
                    </w:rPr>
                    <w:t>17.000</w:t>
                  </w:r>
                </w:p>
              </w:tc>
              <w:tc>
                <w:tcPr>
                  <w:tcW w:w="1917" w:type="dxa"/>
                  <w:vAlign w:val="center"/>
                </w:tcPr>
                <w:p>
                  <w:pPr>
                    <w:spacing w:line="240" w:lineRule="auto"/>
                    <w:jc w:val="center"/>
                    <w:rPr>
                      <w:rFonts w:eastAsia="宋体"/>
                      <w:snapToGrid w:val="0"/>
                      <w:kern w:val="0"/>
                      <w:sz w:val="21"/>
                      <w:szCs w:val="21"/>
                    </w:rPr>
                  </w:pPr>
                  <w:r>
                    <w:rPr>
                      <w:rFonts w:hint="eastAsia" w:eastAsia="宋体"/>
                      <w:snapToGrid w:val="0"/>
                      <w:kern w:val="0"/>
                      <w:sz w:val="21"/>
                      <w:szCs w:val="21"/>
                    </w:rPr>
                    <w:t>周界外浓度最高点</w:t>
                  </w:r>
                </w:p>
              </w:tc>
              <w:tc>
                <w:tcPr>
                  <w:tcW w:w="815" w:type="dxa"/>
                  <w:vAlign w:val="center"/>
                </w:tcPr>
                <w:p>
                  <w:pPr>
                    <w:spacing w:line="240" w:lineRule="auto"/>
                    <w:jc w:val="center"/>
                    <w:rPr>
                      <w:rFonts w:eastAsia="宋体"/>
                      <w:snapToGrid w:val="0"/>
                      <w:kern w:val="0"/>
                      <w:sz w:val="21"/>
                      <w:szCs w:val="21"/>
                    </w:rPr>
                  </w:pPr>
                  <w:r>
                    <w:rPr>
                      <w:rFonts w:hint="eastAsia" w:eastAsia="宋体"/>
                      <w:snapToGrid w:val="0"/>
                      <w:kern w:val="0"/>
                      <w:sz w:val="21"/>
                      <w:szCs w:val="21"/>
                    </w:rPr>
                    <w:t>4</w:t>
                  </w:r>
                  <w:r>
                    <w:rPr>
                      <w:rFonts w:eastAsia="宋体"/>
                      <w:snapToGrid w:val="0"/>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8" w:type="dxa"/>
                  <w:gridSpan w:val="6"/>
                  <w:vAlign w:val="center"/>
                </w:tcPr>
                <w:p>
                  <w:pPr>
                    <w:spacing w:line="240" w:lineRule="auto"/>
                    <w:rPr>
                      <w:rFonts w:hint="default" w:eastAsia="宋体"/>
                      <w:snapToGrid w:val="0"/>
                      <w:kern w:val="0"/>
                      <w:sz w:val="21"/>
                      <w:szCs w:val="21"/>
                    </w:rPr>
                  </w:pPr>
                  <w:r>
                    <w:rPr>
                      <w:rFonts w:hint="default" w:eastAsia="宋体"/>
                      <w:snapToGrid w:val="0"/>
                      <w:kern w:val="0"/>
                      <w:sz w:val="21"/>
                      <w:szCs w:val="21"/>
                    </w:rPr>
                    <w:t>注：</w:t>
                  </w:r>
                  <w:r>
                    <w:rPr>
                      <w:rFonts w:hint="default" w:ascii="Calibri" w:hAnsi="Calibri" w:eastAsia="宋体" w:cs="Calibri"/>
                      <w:snapToGrid w:val="0"/>
                      <w:kern w:val="0"/>
                      <w:sz w:val="21"/>
                      <w:szCs w:val="21"/>
                    </w:rPr>
                    <w:t>①</w:t>
                  </w:r>
                  <w:r>
                    <w:rPr>
                      <w:rFonts w:hint="default" w:eastAsia="宋体"/>
                      <w:snapToGrid w:val="0"/>
                      <w:kern w:val="0"/>
                      <w:sz w:val="21"/>
                      <w:szCs w:val="21"/>
                    </w:rPr>
                    <w:t>HC参照非甲烷总烃排放标准</w:t>
                  </w:r>
                  <w:r>
                    <w:rPr>
                      <w:rFonts w:hint="default" w:eastAsia="宋体"/>
                      <w:snapToGrid w:val="0"/>
                      <w:kern w:val="0"/>
                      <w:sz w:val="21"/>
                      <w:szCs w:val="21"/>
                      <w:lang w:eastAsia="zh-CN"/>
                    </w:rPr>
                    <w:t>。</w:t>
                  </w:r>
                </w:p>
              </w:tc>
            </w:tr>
          </w:tbl>
          <w:p>
            <w:pPr>
              <w:pStyle w:val="177"/>
              <w:spacing w:line="240" w:lineRule="auto"/>
              <w:ind w:firstLine="0"/>
              <w:rPr>
                <w:rFonts w:ascii="Times New Roman" w:hAnsi="Times New Roman" w:cs="Times New Roman"/>
                <w:bCs/>
                <w:kern w:val="2"/>
                <w:sz w:val="21"/>
                <w:szCs w:val="21"/>
              </w:rPr>
            </w:pPr>
            <w:r>
              <w:rPr>
                <w:rFonts w:hint="eastAsia" w:ascii="Times New Roman" w:hAnsi="Times New Roman" w:cs="Times New Roman"/>
                <w:bCs/>
                <w:kern w:val="2"/>
                <w:sz w:val="21"/>
                <w:szCs w:val="21"/>
              </w:rPr>
              <w:t>表3-8</w:t>
            </w:r>
            <w:r>
              <w:rPr>
                <w:rFonts w:ascii="Times New Roman" w:hAnsi="Times New Roman" w:cs="Times New Roman"/>
                <w:bCs/>
                <w:kern w:val="2"/>
                <w:sz w:val="21"/>
                <w:szCs w:val="21"/>
              </w:rPr>
              <w:t>《工作场所有害因素职业接触限值</w:t>
            </w:r>
            <w:r>
              <w:rPr>
                <w:rFonts w:hint="eastAsia" w:ascii="Times New Roman" w:hAnsi="Times New Roman" w:cs="Times New Roman"/>
                <w:bCs/>
                <w:kern w:val="2"/>
                <w:sz w:val="21"/>
                <w:szCs w:val="21"/>
              </w:rPr>
              <w:t>化学有害因素</w:t>
            </w:r>
            <w:r>
              <w:rPr>
                <w:rFonts w:ascii="Times New Roman" w:hAnsi="Times New Roman" w:cs="Times New Roman"/>
                <w:bCs/>
                <w:kern w:val="2"/>
                <w:sz w:val="21"/>
                <w:szCs w:val="21"/>
              </w:rPr>
              <w:t>》单位：mg/</w:t>
            </w:r>
            <w:r>
              <w:rPr>
                <w:rFonts w:hint="eastAsia" w:ascii="Times New Roman" w:hAnsi="Times New Roman" w:cs="Times New Roman"/>
                <w:bCs/>
                <w:kern w:val="2"/>
                <w:sz w:val="21"/>
                <w:szCs w:val="21"/>
              </w:rPr>
              <w:t>m</w:t>
            </w:r>
            <w:r>
              <w:rPr>
                <w:rFonts w:hint="eastAsia" w:ascii="Times New Roman" w:hAnsi="Times New Roman" w:cs="Times New Roman"/>
                <w:bCs/>
                <w:kern w:val="2"/>
                <w:sz w:val="21"/>
                <w:szCs w:val="21"/>
                <w:vertAlign w:val="superscript"/>
              </w:rPr>
              <w:t>3</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886"/>
              <w:gridCol w:w="2351"/>
              <w:gridCol w:w="2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2" w:type="dxa"/>
                  <w:vAlign w:val="center"/>
                </w:tcPr>
                <w:p>
                  <w:pPr>
                    <w:jc w:val="center"/>
                    <w:rPr>
                      <w:rFonts w:eastAsia="宋体"/>
                      <w:b/>
                      <w:bCs/>
                      <w:snapToGrid w:val="0"/>
                      <w:kern w:val="0"/>
                      <w:sz w:val="21"/>
                      <w:szCs w:val="21"/>
                    </w:rPr>
                  </w:pPr>
                  <w:r>
                    <w:rPr>
                      <w:rFonts w:eastAsia="宋体"/>
                      <w:b/>
                      <w:bCs/>
                      <w:snapToGrid w:val="0"/>
                      <w:kern w:val="0"/>
                      <w:sz w:val="21"/>
                      <w:szCs w:val="21"/>
                    </w:rPr>
                    <w:t>名称</w:t>
                  </w:r>
                </w:p>
              </w:tc>
              <w:tc>
                <w:tcPr>
                  <w:tcW w:w="1995" w:type="dxa"/>
                  <w:vAlign w:val="center"/>
                </w:tcPr>
                <w:p>
                  <w:pPr>
                    <w:jc w:val="center"/>
                    <w:rPr>
                      <w:rFonts w:eastAsia="宋体"/>
                      <w:b/>
                      <w:bCs/>
                      <w:snapToGrid w:val="0"/>
                      <w:kern w:val="0"/>
                      <w:sz w:val="21"/>
                      <w:szCs w:val="21"/>
                    </w:rPr>
                  </w:pPr>
                  <w:r>
                    <w:rPr>
                      <w:rFonts w:eastAsia="宋体"/>
                      <w:b/>
                      <w:bCs/>
                      <w:snapToGrid w:val="0"/>
                      <w:kern w:val="0"/>
                      <w:sz w:val="21"/>
                      <w:szCs w:val="21"/>
                    </w:rPr>
                    <w:t>最高容许浓度</w:t>
                  </w:r>
                </w:p>
              </w:tc>
              <w:tc>
                <w:tcPr>
                  <w:tcW w:w="2495" w:type="dxa"/>
                  <w:vAlign w:val="center"/>
                </w:tcPr>
                <w:p>
                  <w:pPr>
                    <w:jc w:val="center"/>
                    <w:rPr>
                      <w:rFonts w:eastAsia="宋体"/>
                      <w:b/>
                      <w:bCs/>
                      <w:snapToGrid w:val="0"/>
                      <w:kern w:val="0"/>
                      <w:sz w:val="21"/>
                      <w:szCs w:val="21"/>
                    </w:rPr>
                  </w:pPr>
                  <w:r>
                    <w:rPr>
                      <w:rFonts w:eastAsia="宋体"/>
                      <w:b/>
                      <w:bCs/>
                      <w:snapToGrid w:val="0"/>
                      <w:kern w:val="0"/>
                      <w:sz w:val="21"/>
                      <w:szCs w:val="21"/>
                    </w:rPr>
                    <w:t>时间加权平均容许浓度</w:t>
                  </w:r>
                </w:p>
              </w:tc>
              <w:tc>
                <w:tcPr>
                  <w:tcW w:w="2545" w:type="dxa"/>
                  <w:vAlign w:val="center"/>
                </w:tcPr>
                <w:p>
                  <w:pPr>
                    <w:jc w:val="center"/>
                    <w:rPr>
                      <w:rFonts w:eastAsia="宋体"/>
                      <w:b/>
                      <w:bCs/>
                      <w:snapToGrid w:val="0"/>
                      <w:kern w:val="0"/>
                      <w:sz w:val="21"/>
                      <w:szCs w:val="21"/>
                    </w:rPr>
                  </w:pPr>
                  <w:r>
                    <w:rPr>
                      <w:rFonts w:eastAsia="宋体"/>
                      <w:b/>
                      <w:bCs/>
                      <w:snapToGrid w:val="0"/>
                      <w:kern w:val="0"/>
                      <w:sz w:val="21"/>
                      <w:szCs w:val="21"/>
                    </w:rPr>
                    <w:t>短时间接触容许浓度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2" w:type="dxa"/>
                  <w:vAlign w:val="center"/>
                </w:tcPr>
                <w:p>
                  <w:pPr>
                    <w:jc w:val="center"/>
                    <w:rPr>
                      <w:rFonts w:eastAsia="宋体"/>
                      <w:snapToGrid w:val="0"/>
                      <w:kern w:val="0"/>
                      <w:sz w:val="21"/>
                      <w:szCs w:val="21"/>
                    </w:rPr>
                  </w:pPr>
                  <w:r>
                    <w:rPr>
                      <w:rFonts w:eastAsia="宋体"/>
                      <w:snapToGrid w:val="0"/>
                      <w:kern w:val="0"/>
                      <w:sz w:val="21"/>
                      <w:szCs w:val="21"/>
                    </w:rPr>
                    <w:t>CO</w:t>
                  </w:r>
                </w:p>
              </w:tc>
              <w:tc>
                <w:tcPr>
                  <w:tcW w:w="1995" w:type="dxa"/>
                  <w:vAlign w:val="center"/>
                </w:tcPr>
                <w:p>
                  <w:pPr>
                    <w:jc w:val="center"/>
                    <w:rPr>
                      <w:rFonts w:eastAsia="宋体"/>
                      <w:snapToGrid w:val="0"/>
                      <w:kern w:val="0"/>
                      <w:sz w:val="21"/>
                      <w:szCs w:val="21"/>
                    </w:rPr>
                  </w:pPr>
                  <w:r>
                    <w:rPr>
                      <w:rFonts w:eastAsia="宋体"/>
                      <w:snapToGrid w:val="0"/>
                      <w:kern w:val="0"/>
                      <w:sz w:val="21"/>
                      <w:szCs w:val="21"/>
                    </w:rPr>
                    <w:t>－</w:t>
                  </w:r>
                </w:p>
              </w:tc>
              <w:tc>
                <w:tcPr>
                  <w:tcW w:w="2495" w:type="dxa"/>
                  <w:vAlign w:val="center"/>
                </w:tcPr>
                <w:p>
                  <w:pPr>
                    <w:jc w:val="center"/>
                    <w:rPr>
                      <w:rFonts w:eastAsia="宋体"/>
                      <w:snapToGrid w:val="0"/>
                      <w:kern w:val="0"/>
                      <w:sz w:val="21"/>
                      <w:szCs w:val="21"/>
                    </w:rPr>
                  </w:pPr>
                  <w:r>
                    <w:rPr>
                      <w:rFonts w:eastAsia="宋体"/>
                      <w:snapToGrid w:val="0"/>
                      <w:kern w:val="0"/>
                      <w:sz w:val="21"/>
                      <w:szCs w:val="21"/>
                    </w:rPr>
                    <w:t>20</w:t>
                  </w:r>
                </w:p>
              </w:tc>
              <w:tc>
                <w:tcPr>
                  <w:tcW w:w="2545" w:type="dxa"/>
                  <w:vAlign w:val="center"/>
                </w:tcPr>
                <w:p>
                  <w:pPr>
                    <w:jc w:val="center"/>
                    <w:rPr>
                      <w:rFonts w:eastAsia="宋体"/>
                      <w:snapToGrid w:val="0"/>
                      <w:kern w:val="0"/>
                      <w:sz w:val="21"/>
                      <w:szCs w:val="21"/>
                    </w:rPr>
                  </w:pPr>
                  <w:r>
                    <w:rPr>
                      <w:rFonts w:eastAsia="宋体"/>
                      <w:snapToGrid w:val="0"/>
                      <w:kern w:val="0"/>
                      <w:sz w:val="21"/>
                      <w:szCs w:val="21"/>
                    </w:rPr>
                    <w:t>30</w:t>
                  </w:r>
                </w:p>
              </w:tc>
            </w:tr>
          </w:tbl>
          <w:p>
            <w:pPr>
              <w:spacing w:before="156" w:beforeLines="50" w:line="240" w:lineRule="auto"/>
              <w:jc w:val="center"/>
              <w:rPr>
                <w:rFonts w:eastAsia="宋体"/>
                <w:b/>
                <w:bCs/>
                <w:sz w:val="21"/>
                <w:szCs w:val="21"/>
              </w:rPr>
            </w:pPr>
            <w:r>
              <w:rPr>
                <w:rFonts w:hint="eastAsia" w:eastAsia="宋体"/>
                <w:b/>
                <w:sz w:val="21"/>
                <w:szCs w:val="21"/>
              </w:rPr>
              <w:t>表3-9</w:t>
            </w:r>
            <w:r>
              <w:rPr>
                <w:rFonts w:hint="eastAsia" w:eastAsia="宋体"/>
                <w:b/>
                <w:bCs/>
                <w:sz w:val="21"/>
                <w:szCs w:val="21"/>
              </w:rPr>
              <w:t>恶臭污染物排放标准值</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2023"/>
              <w:gridCol w:w="1991"/>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8" w:type="dxa"/>
                  <w:vMerge w:val="restart"/>
                  <w:vAlign w:val="center"/>
                </w:tcPr>
                <w:p>
                  <w:pPr>
                    <w:widowControl/>
                    <w:spacing w:line="240" w:lineRule="auto"/>
                    <w:jc w:val="center"/>
                    <w:rPr>
                      <w:rFonts w:eastAsia="宋体"/>
                      <w:b/>
                      <w:bCs/>
                      <w:kern w:val="0"/>
                      <w:sz w:val="21"/>
                      <w:szCs w:val="21"/>
                    </w:rPr>
                  </w:pPr>
                  <w:r>
                    <w:rPr>
                      <w:rFonts w:eastAsia="宋体"/>
                      <w:b/>
                      <w:bCs/>
                      <w:kern w:val="0"/>
                      <w:sz w:val="21"/>
                      <w:szCs w:val="21"/>
                    </w:rPr>
                    <w:t>控制项目</w:t>
                  </w:r>
                </w:p>
              </w:tc>
              <w:tc>
                <w:tcPr>
                  <w:tcW w:w="2052" w:type="dxa"/>
                  <w:vMerge w:val="restart"/>
                  <w:vAlign w:val="center"/>
                </w:tcPr>
                <w:p>
                  <w:pPr>
                    <w:widowControl/>
                    <w:spacing w:line="240" w:lineRule="auto"/>
                    <w:jc w:val="center"/>
                    <w:rPr>
                      <w:rFonts w:eastAsia="宋体"/>
                      <w:b/>
                      <w:bCs/>
                      <w:kern w:val="0"/>
                      <w:sz w:val="21"/>
                      <w:szCs w:val="21"/>
                    </w:rPr>
                  </w:pPr>
                  <w:r>
                    <w:rPr>
                      <w:rFonts w:eastAsia="宋体"/>
                      <w:b/>
                      <w:bCs/>
                      <w:kern w:val="0"/>
                      <w:sz w:val="21"/>
                      <w:szCs w:val="21"/>
                    </w:rPr>
                    <w:t>场界标准，mg/m</w:t>
                  </w:r>
                  <w:r>
                    <w:rPr>
                      <w:rFonts w:eastAsia="宋体"/>
                      <w:b/>
                      <w:bCs/>
                      <w:kern w:val="0"/>
                      <w:sz w:val="21"/>
                      <w:szCs w:val="21"/>
                      <w:vertAlign w:val="superscript"/>
                    </w:rPr>
                    <w:t>3</w:t>
                  </w:r>
                </w:p>
              </w:tc>
              <w:tc>
                <w:tcPr>
                  <w:tcW w:w="4047" w:type="dxa"/>
                  <w:gridSpan w:val="2"/>
                  <w:vAlign w:val="center"/>
                </w:tcPr>
                <w:p>
                  <w:pPr>
                    <w:widowControl/>
                    <w:spacing w:line="240" w:lineRule="auto"/>
                    <w:jc w:val="center"/>
                    <w:rPr>
                      <w:rFonts w:eastAsia="宋体"/>
                      <w:b/>
                      <w:bCs/>
                      <w:kern w:val="0"/>
                      <w:sz w:val="21"/>
                      <w:szCs w:val="21"/>
                    </w:rPr>
                  </w:pPr>
                  <w:r>
                    <w:rPr>
                      <w:rFonts w:eastAsia="宋体"/>
                      <w:b/>
                      <w:bCs/>
                      <w:kern w:val="0"/>
                      <w:sz w:val="21"/>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8" w:type="dxa"/>
                  <w:vMerge w:val="continue"/>
                  <w:vAlign w:val="center"/>
                </w:tcPr>
                <w:p>
                  <w:pPr>
                    <w:widowControl/>
                    <w:spacing w:line="240" w:lineRule="auto"/>
                    <w:jc w:val="center"/>
                    <w:rPr>
                      <w:rFonts w:eastAsia="宋体"/>
                      <w:b/>
                      <w:bCs/>
                      <w:kern w:val="0"/>
                      <w:sz w:val="21"/>
                      <w:szCs w:val="21"/>
                    </w:rPr>
                  </w:pPr>
                </w:p>
              </w:tc>
              <w:tc>
                <w:tcPr>
                  <w:tcW w:w="2052" w:type="dxa"/>
                  <w:vMerge w:val="continue"/>
                  <w:vAlign w:val="center"/>
                </w:tcPr>
                <w:p>
                  <w:pPr>
                    <w:widowControl/>
                    <w:spacing w:line="240" w:lineRule="auto"/>
                    <w:jc w:val="center"/>
                    <w:rPr>
                      <w:rFonts w:eastAsia="宋体"/>
                      <w:b/>
                      <w:bCs/>
                      <w:kern w:val="0"/>
                      <w:sz w:val="21"/>
                      <w:szCs w:val="21"/>
                    </w:rPr>
                  </w:pPr>
                </w:p>
              </w:tc>
              <w:tc>
                <w:tcPr>
                  <w:tcW w:w="2023" w:type="dxa"/>
                  <w:vAlign w:val="center"/>
                </w:tcPr>
                <w:p>
                  <w:pPr>
                    <w:widowControl/>
                    <w:spacing w:line="240" w:lineRule="auto"/>
                    <w:jc w:val="center"/>
                    <w:rPr>
                      <w:rFonts w:eastAsia="宋体"/>
                      <w:b/>
                      <w:bCs/>
                      <w:kern w:val="0"/>
                      <w:sz w:val="21"/>
                      <w:szCs w:val="21"/>
                    </w:rPr>
                  </w:pPr>
                  <w:r>
                    <w:rPr>
                      <w:rFonts w:eastAsia="宋体"/>
                      <w:b/>
                      <w:bCs/>
                      <w:kern w:val="0"/>
                      <w:sz w:val="21"/>
                      <w:szCs w:val="21"/>
                    </w:rPr>
                    <w:t>排气筒高度，m</w:t>
                  </w:r>
                </w:p>
              </w:tc>
              <w:tc>
                <w:tcPr>
                  <w:tcW w:w="2024" w:type="dxa"/>
                  <w:vAlign w:val="center"/>
                </w:tcPr>
                <w:p>
                  <w:pPr>
                    <w:widowControl/>
                    <w:spacing w:line="240" w:lineRule="auto"/>
                    <w:jc w:val="center"/>
                    <w:rPr>
                      <w:rFonts w:eastAsia="宋体"/>
                      <w:b/>
                      <w:bCs/>
                      <w:kern w:val="0"/>
                      <w:sz w:val="21"/>
                      <w:szCs w:val="21"/>
                    </w:rPr>
                  </w:pPr>
                  <w:r>
                    <w:rPr>
                      <w:rFonts w:eastAsia="宋体"/>
                      <w:b/>
                      <w:bCs/>
                      <w:kern w:val="0"/>
                      <w:sz w:val="21"/>
                      <w:szCs w:val="21"/>
                    </w:rPr>
                    <w:t>排放量，kg/h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8" w:type="dxa"/>
                  <w:vAlign w:val="center"/>
                </w:tcPr>
                <w:p>
                  <w:pPr>
                    <w:widowControl/>
                    <w:spacing w:line="240" w:lineRule="auto"/>
                    <w:jc w:val="center"/>
                    <w:rPr>
                      <w:rFonts w:eastAsia="宋体"/>
                      <w:kern w:val="0"/>
                      <w:sz w:val="21"/>
                      <w:szCs w:val="21"/>
                    </w:rPr>
                  </w:pPr>
                  <w:r>
                    <w:rPr>
                      <w:rFonts w:eastAsia="宋体"/>
                      <w:kern w:val="0"/>
                      <w:sz w:val="21"/>
                      <w:szCs w:val="21"/>
                    </w:rPr>
                    <w:t>氨</w:t>
                  </w:r>
                </w:p>
              </w:tc>
              <w:tc>
                <w:tcPr>
                  <w:tcW w:w="2052" w:type="dxa"/>
                  <w:vAlign w:val="center"/>
                </w:tcPr>
                <w:p>
                  <w:pPr>
                    <w:widowControl/>
                    <w:spacing w:line="240" w:lineRule="auto"/>
                    <w:jc w:val="center"/>
                    <w:rPr>
                      <w:rFonts w:eastAsia="宋体"/>
                      <w:kern w:val="0"/>
                      <w:sz w:val="21"/>
                      <w:szCs w:val="21"/>
                    </w:rPr>
                  </w:pPr>
                  <w:r>
                    <w:rPr>
                      <w:rFonts w:eastAsia="宋体"/>
                      <w:kern w:val="0"/>
                      <w:sz w:val="21"/>
                      <w:szCs w:val="21"/>
                    </w:rPr>
                    <w:t>1.5</w:t>
                  </w:r>
                </w:p>
              </w:tc>
              <w:tc>
                <w:tcPr>
                  <w:tcW w:w="2023" w:type="dxa"/>
                  <w:vAlign w:val="center"/>
                </w:tcPr>
                <w:p>
                  <w:pPr>
                    <w:widowControl/>
                    <w:spacing w:line="240" w:lineRule="auto"/>
                    <w:jc w:val="center"/>
                    <w:rPr>
                      <w:rFonts w:eastAsia="宋体"/>
                      <w:kern w:val="0"/>
                      <w:sz w:val="21"/>
                      <w:szCs w:val="21"/>
                    </w:rPr>
                  </w:pPr>
                  <w:r>
                    <w:rPr>
                      <w:rFonts w:eastAsia="宋体"/>
                      <w:kern w:val="0"/>
                      <w:sz w:val="21"/>
                      <w:szCs w:val="21"/>
                    </w:rPr>
                    <w:t>15</w:t>
                  </w:r>
                </w:p>
              </w:tc>
              <w:tc>
                <w:tcPr>
                  <w:tcW w:w="2024" w:type="dxa"/>
                  <w:vAlign w:val="center"/>
                </w:tcPr>
                <w:p>
                  <w:pPr>
                    <w:widowControl/>
                    <w:spacing w:line="240" w:lineRule="auto"/>
                    <w:jc w:val="center"/>
                    <w:rPr>
                      <w:rFonts w:eastAsia="宋体"/>
                      <w:kern w:val="0"/>
                      <w:sz w:val="21"/>
                      <w:szCs w:val="21"/>
                    </w:rPr>
                  </w:pPr>
                  <w:r>
                    <w:rPr>
                      <w:rFonts w:eastAsia="宋体"/>
                      <w:kern w:val="0"/>
                      <w:sz w:val="21"/>
                      <w:szCs w:val="21"/>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8" w:type="dxa"/>
                  <w:vAlign w:val="center"/>
                </w:tcPr>
                <w:p>
                  <w:pPr>
                    <w:widowControl/>
                    <w:spacing w:line="240" w:lineRule="auto"/>
                    <w:jc w:val="center"/>
                    <w:rPr>
                      <w:rFonts w:eastAsia="宋体"/>
                      <w:kern w:val="0"/>
                      <w:sz w:val="21"/>
                      <w:szCs w:val="21"/>
                    </w:rPr>
                  </w:pPr>
                  <w:r>
                    <w:rPr>
                      <w:rFonts w:eastAsia="宋体"/>
                      <w:kern w:val="0"/>
                      <w:sz w:val="21"/>
                      <w:szCs w:val="21"/>
                    </w:rPr>
                    <w:t>硫化氢</w:t>
                  </w:r>
                </w:p>
              </w:tc>
              <w:tc>
                <w:tcPr>
                  <w:tcW w:w="2052" w:type="dxa"/>
                  <w:vAlign w:val="center"/>
                </w:tcPr>
                <w:p>
                  <w:pPr>
                    <w:widowControl/>
                    <w:spacing w:line="240" w:lineRule="auto"/>
                    <w:jc w:val="center"/>
                    <w:rPr>
                      <w:rFonts w:eastAsia="宋体"/>
                      <w:kern w:val="0"/>
                      <w:sz w:val="21"/>
                      <w:szCs w:val="21"/>
                    </w:rPr>
                  </w:pPr>
                  <w:r>
                    <w:rPr>
                      <w:rFonts w:eastAsia="宋体"/>
                      <w:kern w:val="0"/>
                      <w:sz w:val="21"/>
                      <w:szCs w:val="21"/>
                    </w:rPr>
                    <w:t>0.06</w:t>
                  </w:r>
                </w:p>
              </w:tc>
              <w:tc>
                <w:tcPr>
                  <w:tcW w:w="2023" w:type="dxa"/>
                  <w:vAlign w:val="center"/>
                </w:tcPr>
                <w:p>
                  <w:pPr>
                    <w:widowControl/>
                    <w:spacing w:line="240" w:lineRule="auto"/>
                    <w:jc w:val="center"/>
                    <w:rPr>
                      <w:rFonts w:eastAsia="宋体"/>
                      <w:kern w:val="0"/>
                      <w:sz w:val="21"/>
                      <w:szCs w:val="21"/>
                    </w:rPr>
                  </w:pPr>
                  <w:r>
                    <w:rPr>
                      <w:rFonts w:eastAsia="宋体"/>
                      <w:kern w:val="0"/>
                      <w:sz w:val="21"/>
                      <w:szCs w:val="21"/>
                    </w:rPr>
                    <w:t>15</w:t>
                  </w:r>
                </w:p>
              </w:tc>
              <w:tc>
                <w:tcPr>
                  <w:tcW w:w="2024" w:type="dxa"/>
                  <w:vAlign w:val="center"/>
                </w:tcPr>
                <w:p>
                  <w:pPr>
                    <w:widowControl/>
                    <w:spacing w:line="240" w:lineRule="auto"/>
                    <w:jc w:val="center"/>
                    <w:rPr>
                      <w:rFonts w:eastAsia="宋体"/>
                      <w:kern w:val="0"/>
                      <w:sz w:val="21"/>
                      <w:szCs w:val="21"/>
                    </w:rPr>
                  </w:pPr>
                  <w:r>
                    <w:rPr>
                      <w:rFonts w:eastAsia="宋体"/>
                      <w:kern w:val="0"/>
                      <w:sz w:val="21"/>
                      <w:szCs w:val="21"/>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8" w:type="dxa"/>
                  <w:vAlign w:val="center"/>
                </w:tcPr>
                <w:p>
                  <w:pPr>
                    <w:widowControl/>
                    <w:spacing w:line="240" w:lineRule="auto"/>
                    <w:jc w:val="center"/>
                    <w:rPr>
                      <w:rFonts w:eastAsia="宋体"/>
                      <w:kern w:val="0"/>
                      <w:sz w:val="21"/>
                      <w:szCs w:val="21"/>
                    </w:rPr>
                  </w:pPr>
                  <w:r>
                    <w:rPr>
                      <w:rFonts w:hint="eastAsia" w:eastAsia="宋体"/>
                      <w:kern w:val="0"/>
                      <w:sz w:val="21"/>
                      <w:szCs w:val="21"/>
                    </w:rPr>
                    <w:t>臭气浓度</w:t>
                  </w:r>
                </w:p>
              </w:tc>
              <w:tc>
                <w:tcPr>
                  <w:tcW w:w="2052" w:type="dxa"/>
                  <w:vAlign w:val="center"/>
                </w:tcPr>
                <w:p>
                  <w:pPr>
                    <w:widowControl/>
                    <w:spacing w:line="240" w:lineRule="auto"/>
                    <w:jc w:val="center"/>
                    <w:rPr>
                      <w:rFonts w:eastAsia="宋体"/>
                      <w:kern w:val="0"/>
                      <w:sz w:val="21"/>
                      <w:szCs w:val="21"/>
                    </w:rPr>
                  </w:pPr>
                  <w:r>
                    <w:rPr>
                      <w:rFonts w:hint="eastAsia" w:eastAsia="宋体"/>
                      <w:kern w:val="0"/>
                      <w:sz w:val="21"/>
                      <w:szCs w:val="21"/>
                    </w:rPr>
                    <w:t>2</w:t>
                  </w:r>
                  <w:r>
                    <w:rPr>
                      <w:rFonts w:eastAsia="宋体"/>
                      <w:kern w:val="0"/>
                      <w:sz w:val="21"/>
                      <w:szCs w:val="21"/>
                    </w:rPr>
                    <w:t>0</w:t>
                  </w:r>
                  <w:r>
                    <w:rPr>
                      <w:rFonts w:hint="eastAsia" w:eastAsia="宋体"/>
                      <w:kern w:val="0"/>
                      <w:sz w:val="21"/>
                      <w:szCs w:val="21"/>
                    </w:rPr>
                    <w:t>（无量纲）</w:t>
                  </w:r>
                </w:p>
              </w:tc>
              <w:tc>
                <w:tcPr>
                  <w:tcW w:w="2023" w:type="dxa"/>
                  <w:vAlign w:val="center"/>
                </w:tcPr>
                <w:p>
                  <w:pPr>
                    <w:widowControl/>
                    <w:spacing w:line="240" w:lineRule="auto"/>
                    <w:jc w:val="center"/>
                    <w:rPr>
                      <w:rFonts w:eastAsia="宋体"/>
                      <w:kern w:val="0"/>
                      <w:sz w:val="21"/>
                      <w:szCs w:val="21"/>
                    </w:rPr>
                  </w:pPr>
                  <w:r>
                    <w:rPr>
                      <w:rFonts w:eastAsia="宋体"/>
                      <w:kern w:val="0"/>
                      <w:sz w:val="21"/>
                      <w:szCs w:val="21"/>
                    </w:rPr>
                    <w:t>15</w:t>
                  </w:r>
                </w:p>
              </w:tc>
              <w:tc>
                <w:tcPr>
                  <w:tcW w:w="2024" w:type="dxa"/>
                  <w:vAlign w:val="center"/>
                </w:tcPr>
                <w:p>
                  <w:pPr>
                    <w:widowControl/>
                    <w:spacing w:line="240" w:lineRule="auto"/>
                    <w:jc w:val="center"/>
                    <w:rPr>
                      <w:rFonts w:eastAsia="宋体"/>
                      <w:kern w:val="0"/>
                      <w:sz w:val="21"/>
                      <w:szCs w:val="21"/>
                    </w:rPr>
                  </w:pPr>
                  <w:r>
                    <w:rPr>
                      <w:rFonts w:eastAsia="宋体"/>
                      <w:kern w:val="0"/>
                      <w:sz w:val="21"/>
                      <w:szCs w:val="21"/>
                    </w:rPr>
                    <w:t>2000</w:t>
                  </w:r>
                  <w:r>
                    <w:rPr>
                      <w:rFonts w:hint="eastAsia" w:eastAsia="宋体"/>
                      <w:kern w:val="0"/>
                      <w:sz w:val="21"/>
                      <w:szCs w:val="21"/>
                    </w:rPr>
                    <w:t>（无量纲）</w:t>
                  </w:r>
                </w:p>
              </w:tc>
            </w:tr>
          </w:tbl>
          <w:p>
            <w:pPr>
              <w:pStyle w:val="30"/>
              <w:spacing w:before="156" w:beforeLines="50" w:after="0" w:line="240" w:lineRule="auto"/>
              <w:ind w:firstLine="0" w:firstLineChars="0"/>
              <w:jc w:val="center"/>
              <w:rPr>
                <w:rFonts w:eastAsia="宋体"/>
                <w:b/>
                <w:sz w:val="21"/>
                <w:szCs w:val="21"/>
              </w:rPr>
            </w:pPr>
            <w:r>
              <w:rPr>
                <w:rFonts w:eastAsia="宋体"/>
                <w:b/>
                <w:sz w:val="21"/>
                <w:szCs w:val="21"/>
              </w:rPr>
              <w:t>表</w:t>
            </w:r>
            <w:r>
              <w:rPr>
                <w:rFonts w:hint="eastAsia" w:eastAsia="宋体"/>
                <w:b/>
                <w:sz w:val="21"/>
                <w:szCs w:val="21"/>
              </w:rPr>
              <w:t>3-10</w:t>
            </w:r>
            <w:r>
              <w:rPr>
                <w:rFonts w:eastAsia="宋体"/>
                <w:b/>
                <w:sz w:val="21"/>
                <w:szCs w:val="21"/>
              </w:rPr>
              <w:t>饮食业油烟排放标准（试行）</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9"/>
              <w:gridCol w:w="1552"/>
              <w:gridCol w:w="1563"/>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9" w:type="dxa"/>
                  <w:vAlign w:val="center"/>
                </w:tcPr>
                <w:p>
                  <w:pPr>
                    <w:spacing w:line="240" w:lineRule="auto"/>
                    <w:jc w:val="center"/>
                    <w:rPr>
                      <w:rFonts w:eastAsia="宋体"/>
                      <w:sz w:val="21"/>
                      <w:szCs w:val="21"/>
                    </w:rPr>
                  </w:pPr>
                  <w:r>
                    <w:rPr>
                      <w:rFonts w:eastAsia="宋体"/>
                      <w:sz w:val="21"/>
                      <w:szCs w:val="21"/>
                    </w:rPr>
                    <w:t>规模</w:t>
                  </w:r>
                </w:p>
              </w:tc>
              <w:tc>
                <w:tcPr>
                  <w:tcW w:w="1645" w:type="dxa"/>
                  <w:vAlign w:val="center"/>
                </w:tcPr>
                <w:p>
                  <w:pPr>
                    <w:spacing w:line="240" w:lineRule="auto"/>
                    <w:jc w:val="center"/>
                    <w:rPr>
                      <w:rFonts w:eastAsia="宋体"/>
                      <w:sz w:val="21"/>
                      <w:szCs w:val="21"/>
                    </w:rPr>
                  </w:pPr>
                  <w:r>
                    <w:rPr>
                      <w:rFonts w:eastAsia="宋体"/>
                      <w:sz w:val="21"/>
                      <w:szCs w:val="21"/>
                    </w:rPr>
                    <w:t>小型</w:t>
                  </w:r>
                </w:p>
              </w:tc>
              <w:tc>
                <w:tcPr>
                  <w:tcW w:w="1647" w:type="dxa"/>
                  <w:vAlign w:val="center"/>
                </w:tcPr>
                <w:p>
                  <w:pPr>
                    <w:spacing w:line="240" w:lineRule="auto"/>
                    <w:jc w:val="center"/>
                    <w:rPr>
                      <w:rFonts w:eastAsia="宋体"/>
                      <w:sz w:val="21"/>
                      <w:szCs w:val="21"/>
                    </w:rPr>
                  </w:pPr>
                  <w:r>
                    <w:rPr>
                      <w:rFonts w:eastAsia="宋体"/>
                      <w:sz w:val="21"/>
                      <w:szCs w:val="21"/>
                    </w:rPr>
                    <w:t>中型</w:t>
                  </w:r>
                </w:p>
              </w:tc>
              <w:tc>
                <w:tcPr>
                  <w:tcW w:w="1536" w:type="dxa"/>
                  <w:vAlign w:val="center"/>
                </w:tcPr>
                <w:p>
                  <w:pPr>
                    <w:spacing w:line="240" w:lineRule="auto"/>
                    <w:jc w:val="center"/>
                    <w:rPr>
                      <w:rFonts w:eastAsia="宋体"/>
                      <w:b/>
                      <w:bCs/>
                      <w:sz w:val="21"/>
                      <w:szCs w:val="21"/>
                    </w:rPr>
                  </w:pPr>
                  <w:r>
                    <w:rPr>
                      <w:rFonts w:eastAsia="宋体"/>
                      <w:b/>
                      <w:bCs/>
                      <w:sz w:val="21"/>
                      <w:szCs w:val="21"/>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9" w:type="dxa"/>
                  <w:vAlign w:val="center"/>
                </w:tcPr>
                <w:p>
                  <w:pPr>
                    <w:spacing w:line="240" w:lineRule="auto"/>
                    <w:jc w:val="center"/>
                    <w:rPr>
                      <w:rFonts w:eastAsia="宋体"/>
                      <w:sz w:val="21"/>
                      <w:szCs w:val="21"/>
                    </w:rPr>
                  </w:pPr>
                  <w:r>
                    <w:rPr>
                      <w:rFonts w:eastAsia="宋体"/>
                      <w:sz w:val="21"/>
                      <w:szCs w:val="21"/>
                    </w:rPr>
                    <w:t>基准灶头数</w:t>
                  </w:r>
                </w:p>
              </w:tc>
              <w:tc>
                <w:tcPr>
                  <w:tcW w:w="1645" w:type="dxa"/>
                  <w:vAlign w:val="center"/>
                </w:tcPr>
                <w:p>
                  <w:pPr>
                    <w:spacing w:line="240" w:lineRule="auto"/>
                    <w:jc w:val="center"/>
                    <w:rPr>
                      <w:rFonts w:eastAsia="宋体"/>
                      <w:sz w:val="21"/>
                      <w:szCs w:val="21"/>
                    </w:rPr>
                  </w:pPr>
                  <w:r>
                    <w:rPr>
                      <w:rFonts w:eastAsia="宋体"/>
                      <w:sz w:val="21"/>
                      <w:szCs w:val="21"/>
                    </w:rPr>
                    <w:t>≥ 1，＜3</w:t>
                  </w:r>
                </w:p>
              </w:tc>
              <w:tc>
                <w:tcPr>
                  <w:tcW w:w="1647" w:type="dxa"/>
                  <w:vAlign w:val="center"/>
                </w:tcPr>
                <w:p>
                  <w:pPr>
                    <w:spacing w:line="240" w:lineRule="auto"/>
                    <w:jc w:val="center"/>
                    <w:rPr>
                      <w:rFonts w:eastAsia="宋体"/>
                      <w:sz w:val="21"/>
                      <w:szCs w:val="21"/>
                    </w:rPr>
                  </w:pPr>
                  <w:r>
                    <w:rPr>
                      <w:rFonts w:eastAsia="宋体"/>
                      <w:sz w:val="21"/>
                      <w:szCs w:val="21"/>
                    </w:rPr>
                    <w:t>≥3，＜6</w:t>
                  </w:r>
                </w:p>
              </w:tc>
              <w:tc>
                <w:tcPr>
                  <w:tcW w:w="1536" w:type="dxa"/>
                  <w:vAlign w:val="center"/>
                </w:tcPr>
                <w:p>
                  <w:pPr>
                    <w:spacing w:line="240" w:lineRule="auto"/>
                    <w:jc w:val="center"/>
                    <w:rPr>
                      <w:rFonts w:eastAsia="宋体"/>
                      <w:b/>
                      <w:bCs/>
                      <w:sz w:val="21"/>
                      <w:szCs w:val="21"/>
                    </w:rPr>
                  </w:pPr>
                  <w:r>
                    <w:rPr>
                      <w:rFonts w:eastAsia="宋体"/>
                      <w:b/>
                      <w:bCs/>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9" w:type="dxa"/>
                  <w:vAlign w:val="center"/>
                </w:tcPr>
                <w:p>
                  <w:pPr>
                    <w:spacing w:line="240" w:lineRule="auto"/>
                    <w:jc w:val="center"/>
                    <w:rPr>
                      <w:rFonts w:eastAsia="宋体"/>
                      <w:sz w:val="21"/>
                      <w:szCs w:val="21"/>
                    </w:rPr>
                  </w:pPr>
                  <w:r>
                    <w:rPr>
                      <w:rFonts w:eastAsia="宋体"/>
                      <w:sz w:val="21"/>
                      <w:szCs w:val="21"/>
                    </w:rPr>
                    <w:t>最高允许排放浓度（mg/</w:t>
                  </w:r>
                  <w:r>
                    <w:rPr>
                      <w:rFonts w:hint="eastAsia" w:eastAsia="宋体"/>
                      <w:sz w:val="21"/>
                      <w:szCs w:val="21"/>
                    </w:rPr>
                    <w:t>m</w:t>
                  </w:r>
                  <w:r>
                    <w:rPr>
                      <w:rFonts w:hint="eastAsia" w:eastAsia="宋体"/>
                      <w:sz w:val="21"/>
                      <w:szCs w:val="21"/>
                      <w:vertAlign w:val="superscript"/>
                    </w:rPr>
                    <w:t>3</w:t>
                  </w:r>
                  <w:r>
                    <w:rPr>
                      <w:rFonts w:eastAsia="宋体"/>
                      <w:sz w:val="21"/>
                      <w:szCs w:val="21"/>
                    </w:rPr>
                    <w:t>）</w:t>
                  </w:r>
                </w:p>
              </w:tc>
              <w:tc>
                <w:tcPr>
                  <w:tcW w:w="4828" w:type="dxa"/>
                  <w:gridSpan w:val="3"/>
                  <w:vAlign w:val="center"/>
                </w:tcPr>
                <w:p>
                  <w:pPr>
                    <w:spacing w:line="240" w:lineRule="auto"/>
                    <w:jc w:val="center"/>
                    <w:rPr>
                      <w:rFonts w:eastAsia="宋体"/>
                      <w:b/>
                      <w:bCs/>
                      <w:sz w:val="21"/>
                      <w:szCs w:val="21"/>
                    </w:rPr>
                  </w:pPr>
                  <w:r>
                    <w:rPr>
                      <w:rFonts w:eastAsia="宋体"/>
                      <w:b/>
                      <w:bCs/>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9" w:type="dxa"/>
                  <w:vAlign w:val="center"/>
                </w:tcPr>
                <w:p>
                  <w:pPr>
                    <w:spacing w:line="240" w:lineRule="auto"/>
                    <w:jc w:val="center"/>
                    <w:rPr>
                      <w:rFonts w:eastAsia="宋体"/>
                      <w:sz w:val="21"/>
                      <w:szCs w:val="21"/>
                    </w:rPr>
                  </w:pPr>
                  <w:r>
                    <w:rPr>
                      <w:rFonts w:eastAsia="宋体"/>
                      <w:sz w:val="21"/>
                      <w:szCs w:val="21"/>
                    </w:rPr>
                    <w:t>净化设施最低去除效率（%）</w:t>
                  </w:r>
                </w:p>
              </w:tc>
              <w:tc>
                <w:tcPr>
                  <w:tcW w:w="1645" w:type="dxa"/>
                  <w:vAlign w:val="center"/>
                </w:tcPr>
                <w:p>
                  <w:pPr>
                    <w:spacing w:line="240" w:lineRule="auto"/>
                    <w:jc w:val="center"/>
                    <w:rPr>
                      <w:rFonts w:eastAsia="宋体"/>
                      <w:sz w:val="21"/>
                      <w:szCs w:val="21"/>
                    </w:rPr>
                  </w:pPr>
                  <w:r>
                    <w:rPr>
                      <w:rFonts w:eastAsia="宋体"/>
                      <w:sz w:val="21"/>
                      <w:szCs w:val="21"/>
                    </w:rPr>
                    <w:t>60</w:t>
                  </w:r>
                </w:p>
              </w:tc>
              <w:tc>
                <w:tcPr>
                  <w:tcW w:w="1647" w:type="dxa"/>
                  <w:vAlign w:val="center"/>
                </w:tcPr>
                <w:p>
                  <w:pPr>
                    <w:spacing w:line="240" w:lineRule="auto"/>
                    <w:jc w:val="center"/>
                    <w:rPr>
                      <w:rFonts w:eastAsia="宋体"/>
                      <w:sz w:val="21"/>
                      <w:szCs w:val="21"/>
                    </w:rPr>
                  </w:pPr>
                  <w:r>
                    <w:rPr>
                      <w:rFonts w:eastAsia="宋体"/>
                      <w:sz w:val="21"/>
                      <w:szCs w:val="21"/>
                    </w:rPr>
                    <w:t>75</w:t>
                  </w:r>
                </w:p>
              </w:tc>
              <w:tc>
                <w:tcPr>
                  <w:tcW w:w="1536" w:type="dxa"/>
                  <w:vAlign w:val="center"/>
                </w:tcPr>
                <w:p>
                  <w:pPr>
                    <w:spacing w:line="240" w:lineRule="auto"/>
                    <w:jc w:val="center"/>
                    <w:rPr>
                      <w:rFonts w:eastAsia="宋体"/>
                      <w:b/>
                      <w:bCs/>
                      <w:sz w:val="21"/>
                      <w:szCs w:val="21"/>
                    </w:rPr>
                  </w:pPr>
                  <w:r>
                    <w:rPr>
                      <w:rFonts w:eastAsia="宋体"/>
                      <w:b/>
                      <w:bCs/>
                      <w:sz w:val="21"/>
                      <w:szCs w:val="21"/>
                    </w:rPr>
                    <w:t>85</w:t>
                  </w:r>
                </w:p>
              </w:tc>
            </w:tr>
          </w:tbl>
          <w:p>
            <w:pPr>
              <w:ind w:firstLine="361" w:firstLineChars="200"/>
              <w:rPr>
                <w:rFonts w:eastAsia="宋体"/>
                <w:b/>
                <w:sz w:val="18"/>
                <w:szCs w:val="18"/>
              </w:rPr>
            </w:pPr>
            <w:r>
              <w:rPr>
                <w:rFonts w:eastAsia="宋体"/>
                <w:b/>
                <w:sz w:val="18"/>
                <w:szCs w:val="18"/>
              </w:rPr>
              <w:t>注：单个灶头基准排风量：大、中、小型均为2000</w:t>
            </w:r>
            <w:r>
              <w:rPr>
                <w:rFonts w:hint="eastAsia" w:eastAsia="宋体"/>
                <w:b/>
                <w:sz w:val="18"/>
                <w:szCs w:val="18"/>
              </w:rPr>
              <w:t>m</w:t>
            </w:r>
            <w:r>
              <w:rPr>
                <w:rFonts w:hint="eastAsia" w:eastAsia="宋体"/>
                <w:b/>
                <w:sz w:val="18"/>
                <w:szCs w:val="18"/>
                <w:vertAlign w:val="superscript"/>
              </w:rPr>
              <w:t>3</w:t>
            </w:r>
            <w:r>
              <w:rPr>
                <w:rFonts w:eastAsia="宋体"/>
                <w:b/>
                <w:sz w:val="18"/>
                <w:szCs w:val="18"/>
              </w:rPr>
              <w:t>/h。</w:t>
            </w:r>
          </w:p>
          <w:p>
            <w:pPr>
              <w:pStyle w:val="16"/>
              <w:ind w:firstLine="480" w:firstLineChars="200"/>
              <w:jc w:val="left"/>
              <w:rPr>
                <w:rFonts w:ascii="Times New Roman" w:hAnsi="Times New Roman" w:eastAsia="宋体" w:cs="Times New Roman"/>
              </w:rPr>
            </w:pPr>
            <w:r>
              <w:rPr>
                <w:rFonts w:hint="eastAsia" w:ascii="Times New Roman" w:hAnsi="Times New Roman" w:eastAsia="宋体" w:cs="Times New Roman"/>
              </w:rPr>
              <w:t>2）废水</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本项目生活污水经化粪池预处理，实验室废水经酸碱中和预处理，食堂废水经隔油池预处理，一并纳入市政污水管道，最终经临平净水厂处理达标后排放。其中纳管标准执行《污水综合排放标准》（GB8978-1996）中的三级标准（其中氨氮参照执行《污水排入城镇下水道水质标准》（GB/T31962-2015）），临平净水厂出水水质执行《城镇污水处理厂污染物排放标准》（GB18918-2002）一级A标准（其中COD</w:t>
            </w:r>
            <w:r>
              <w:rPr>
                <w:rFonts w:hint="eastAsia" w:ascii="Times New Roman" w:hAnsi="Times New Roman" w:eastAsia="宋体" w:cs="Times New Roman"/>
                <w:vertAlign w:val="subscript"/>
              </w:rPr>
              <w:t>Cr</w:t>
            </w:r>
            <w:r>
              <w:rPr>
                <w:rFonts w:hint="eastAsia" w:ascii="Times New Roman" w:hAnsi="Times New Roman" w:eastAsia="宋体" w:cs="Times New Roman"/>
              </w:rPr>
              <w:t>、氨氮、总氮、总磷按《城镇污水处理厂主要水污染物排放标准》（DB33/2169-2018）执行）限值后排放。具体见下表。</w:t>
            </w:r>
          </w:p>
          <w:p>
            <w:pPr>
              <w:pStyle w:val="9"/>
              <w:tabs>
                <w:tab w:val="center" w:pos="10467"/>
                <w:tab w:val="left" w:pos="13095"/>
              </w:tabs>
              <w:spacing w:line="240" w:lineRule="auto"/>
              <w:ind w:firstLine="0" w:firstLineChars="0"/>
              <w:jc w:val="center"/>
              <w:rPr>
                <w:rFonts w:ascii="Times New Roman" w:hAnsi="Times New Roman" w:eastAsia="宋体"/>
                <w:b/>
                <w:bCs/>
                <w:sz w:val="21"/>
                <w:szCs w:val="21"/>
              </w:rPr>
            </w:pPr>
            <w:r>
              <w:rPr>
                <w:rFonts w:hint="eastAsia" w:ascii="Times New Roman" w:hAnsi="Times New Roman" w:eastAsia="宋体"/>
                <w:b/>
                <w:bCs/>
                <w:sz w:val="21"/>
                <w:szCs w:val="21"/>
              </w:rPr>
              <w:t>表3-11</w:t>
            </w:r>
            <w:r>
              <w:rPr>
                <w:rFonts w:ascii="Times New Roman" w:hAnsi="Times New Roman" w:eastAsia="宋体"/>
                <w:b/>
                <w:bCs/>
                <w:sz w:val="21"/>
                <w:szCs w:val="21"/>
              </w:rPr>
              <w:t>污水综合排放标准</w:t>
            </w:r>
            <w:r>
              <w:rPr>
                <w:rFonts w:hint="eastAsia" w:ascii="Times New Roman" w:hAnsi="Times New Roman" w:eastAsia="宋体"/>
                <w:b/>
                <w:bCs/>
                <w:sz w:val="21"/>
                <w:szCs w:val="21"/>
              </w:rPr>
              <w:t>及污水排入市政污水管道标准</w:t>
            </w:r>
          </w:p>
          <w:tbl>
            <w:tblPr>
              <w:tblStyle w:val="18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026"/>
              <w:gridCol w:w="1206"/>
              <w:gridCol w:w="36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5" w:type="dxa"/>
                  <w:tcBorders>
                    <w:top w:val="single" w:color="auto" w:sz="4" w:space="0"/>
                    <w:left w:val="single" w:color="auto" w:sz="4" w:space="0"/>
                    <w:bottom w:val="single" w:color="auto" w:sz="4" w:space="0"/>
                    <w:right w:val="nil"/>
                    <w:insideV w:val="nil"/>
                    <w:tl2br w:val="nil"/>
                    <w:tr2bl w:val="nil"/>
                  </w:tcBorders>
                  <w:vAlign w:val="center"/>
                </w:tcPr>
                <w:p>
                  <w:pPr>
                    <w:spacing w:line="240" w:lineRule="auto"/>
                    <w:rPr>
                      <w:rFonts w:ascii="Calibri" w:hAnsi="Calibri" w:eastAsia="宋体"/>
                      <w:sz w:val="21"/>
                      <w:szCs w:val="21"/>
                    </w:rPr>
                  </w:pPr>
                  <w:r>
                    <w:rPr>
                      <w:rFonts w:ascii="Calibri" w:hAnsi="Calibri" w:eastAsia="宋体"/>
                      <w:sz w:val="21"/>
                      <w:szCs w:val="21"/>
                    </w:rPr>
                    <w:t>序号</w:t>
                  </w:r>
                </w:p>
              </w:tc>
              <w:tc>
                <w:tcPr>
                  <w:tcW w:w="2023" w:type="dxa"/>
                  <w:tcBorders>
                    <w:top w:val="single" w:color="auto" w:sz="4" w:space="0"/>
                    <w:left w:val="single" w:color="auto" w:sz="4" w:space="0"/>
                    <w:bottom w:val="single" w:color="auto" w:sz="4" w:space="0"/>
                    <w:right w:val="nil"/>
                    <w:insideV w:val="nil"/>
                    <w:tl2br w:val="nil"/>
                    <w:tr2bl w:val="nil"/>
                  </w:tcBorders>
                  <w:vAlign w:val="center"/>
                </w:tcPr>
                <w:p>
                  <w:pPr>
                    <w:pStyle w:val="179"/>
                    <w:tabs>
                      <w:tab w:val="clear" w:pos="0"/>
                    </w:tabs>
                    <w:spacing w:before="0"/>
                    <w:rPr>
                      <w:rFonts w:ascii="Times New Roman" w:hAnsi="Times New Roman" w:eastAsia="宋体"/>
                      <w:kern w:val="0"/>
                      <w:szCs w:val="21"/>
                    </w:rPr>
                  </w:pPr>
                  <w:r>
                    <w:rPr>
                      <w:rFonts w:ascii="Times New Roman" w:hAnsi="Times New Roman" w:eastAsia="宋体"/>
                      <w:kern w:val="0"/>
                      <w:szCs w:val="21"/>
                    </w:rPr>
                    <w:t>污染物</w:t>
                  </w:r>
                </w:p>
              </w:tc>
              <w:tc>
                <w:tcPr>
                  <w:tcW w:w="1204" w:type="dxa"/>
                  <w:tcBorders>
                    <w:top w:val="single" w:color="auto" w:sz="4" w:space="0"/>
                    <w:left w:val="single" w:color="auto" w:sz="4" w:space="0"/>
                    <w:bottom w:val="single" w:color="auto" w:sz="4" w:space="0"/>
                    <w:right w:val="nil"/>
                    <w:insideV w:val="nil"/>
                    <w:tl2br w:val="nil"/>
                    <w:tr2bl w:val="nil"/>
                  </w:tcBorders>
                  <w:vAlign w:val="center"/>
                </w:tcPr>
                <w:p>
                  <w:pPr>
                    <w:pStyle w:val="179"/>
                    <w:tabs>
                      <w:tab w:val="clear" w:pos="0"/>
                    </w:tabs>
                    <w:spacing w:before="0"/>
                    <w:rPr>
                      <w:rFonts w:ascii="Times New Roman" w:hAnsi="Times New Roman" w:eastAsia="宋体"/>
                      <w:kern w:val="0"/>
                      <w:szCs w:val="21"/>
                    </w:rPr>
                  </w:pPr>
                  <w:r>
                    <w:rPr>
                      <w:rFonts w:ascii="Times New Roman" w:hAnsi="Times New Roman" w:eastAsia="宋体"/>
                      <w:kern w:val="0"/>
                      <w:szCs w:val="21"/>
                    </w:rPr>
                    <w:t>标准限值</w:t>
                  </w:r>
                </w:p>
              </w:tc>
              <w:tc>
                <w:tcPr>
                  <w:tcW w:w="3606" w:type="dxa"/>
                  <w:tcBorders>
                    <w:top w:val="single" w:color="auto" w:sz="4" w:space="0"/>
                    <w:left w:val="single" w:color="auto" w:sz="4" w:space="0"/>
                    <w:bottom w:val="single" w:color="auto" w:sz="4" w:space="0"/>
                    <w:right w:val="single" w:color="auto" w:sz="4" w:space="0"/>
                    <w:insideV w:val="nil"/>
                    <w:tl2br w:val="nil"/>
                    <w:tr2bl w:val="nil"/>
                  </w:tcBorders>
                  <w:vAlign w:val="center"/>
                </w:tcPr>
                <w:p>
                  <w:pPr>
                    <w:pStyle w:val="179"/>
                    <w:tabs>
                      <w:tab w:val="clear" w:pos="0"/>
                    </w:tabs>
                    <w:spacing w:before="0"/>
                    <w:rPr>
                      <w:rFonts w:ascii="Times New Roman" w:hAnsi="Times New Roman" w:eastAsia="宋体"/>
                      <w:kern w:val="0"/>
                      <w:szCs w:val="21"/>
                    </w:rPr>
                  </w:pPr>
                  <w:r>
                    <w:rPr>
                      <w:rFonts w:ascii="Times New Roman" w:hAnsi="Times New Roman" w:eastAsia="宋体"/>
                      <w:kern w:val="0"/>
                      <w:szCs w:val="21"/>
                    </w:rPr>
                    <w:t>标准出处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5" w:type="dxa"/>
                  <w:tcBorders>
                    <w:top w:val="single" w:color="auto" w:sz="4" w:space="0"/>
                    <w:left w:val="single" w:color="auto" w:sz="4" w:space="0"/>
                    <w:bottom w:val="single" w:color="auto" w:sz="4" w:space="0"/>
                  </w:tcBorders>
                  <w:vAlign w:val="center"/>
                </w:tcPr>
                <w:p>
                  <w:pPr>
                    <w:spacing w:line="240" w:lineRule="auto"/>
                    <w:rPr>
                      <w:rFonts w:ascii="Calibri" w:hAnsi="Calibri" w:eastAsia="宋体"/>
                      <w:sz w:val="21"/>
                      <w:szCs w:val="21"/>
                    </w:rPr>
                  </w:pPr>
                  <w:r>
                    <w:rPr>
                      <w:rFonts w:ascii="Calibri" w:hAnsi="Calibri" w:eastAsia="宋体"/>
                      <w:sz w:val="21"/>
                      <w:szCs w:val="21"/>
                    </w:rPr>
                    <w:t>1</w:t>
                  </w:r>
                </w:p>
              </w:tc>
              <w:tc>
                <w:tcPr>
                  <w:tcW w:w="2023" w:type="dxa"/>
                  <w:tcBorders>
                    <w:top w:val="single" w:color="auto" w:sz="4" w:space="0"/>
                    <w:bottom w:val="single" w:color="auto" w:sz="4" w:space="0"/>
                  </w:tcBorders>
                  <w:vAlign w:val="center"/>
                </w:tcPr>
                <w:p>
                  <w:pPr>
                    <w:pStyle w:val="179"/>
                    <w:tabs>
                      <w:tab w:val="clear" w:pos="0"/>
                    </w:tabs>
                    <w:spacing w:before="0"/>
                    <w:rPr>
                      <w:rFonts w:ascii="Times New Roman" w:hAnsi="Times New Roman" w:eastAsia="宋体"/>
                      <w:kern w:val="0"/>
                      <w:szCs w:val="21"/>
                    </w:rPr>
                  </w:pPr>
                  <w:r>
                    <w:rPr>
                      <w:rFonts w:ascii="Times New Roman" w:hAnsi="Times New Roman" w:eastAsia="宋体"/>
                      <w:kern w:val="0"/>
                      <w:szCs w:val="21"/>
                    </w:rPr>
                    <w:t>pH（无量纲）</w:t>
                  </w:r>
                </w:p>
              </w:tc>
              <w:tc>
                <w:tcPr>
                  <w:tcW w:w="1204" w:type="dxa"/>
                  <w:tcBorders>
                    <w:top w:val="single" w:color="auto" w:sz="4" w:space="0"/>
                    <w:bottom w:val="single" w:color="auto" w:sz="4" w:space="0"/>
                  </w:tcBorders>
                  <w:vAlign w:val="center"/>
                </w:tcPr>
                <w:p>
                  <w:pPr>
                    <w:pStyle w:val="179"/>
                    <w:tabs>
                      <w:tab w:val="clear" w:pos="0"/>
                    </w:tabs>
                    <w:spacing w:before="0"/>
                    <w:rPr>
                      <w:rFonts w:ascii="Times New Roman" w:hAnsi="Times New Roman" w:eastAsia="宋体"/>
                      <w:kern w:val="0"/>
                      <w:szCs w:val="21"/>
                    </w:rPr>
                  </w:pPr>
                  <w:r>
                    <w:rPr>
                      <w:rFonts w:ascii="Times New Roman" w:hAnsi="Times New Roman" w:eastAsia="宋体"/>
                      <w:kern w:val="0"/>
                      <w:szCs w:val="21"/>
                    </w:rPr>
                    <w:t>6~9</w:t>
                  </w:r>
                </w:p>
              </w:tc>
              <w:tc>
                <w:tcPr>
                  <w:tcW w:w="3606" w:type="dxa"/>
                  <w:vMerge w:val="restart"/>
                  <w:tcBorders>
                    <w:top w:val="single" w:color="auto" w:sz="4" w:space="0"/>
                    <w:right w:val="single" w:color="auto" w:sz="4" w:space="0"/>
                  </w:tcBorders>
                  <w:vAlign w:val="center"/>
                </w:tcPr>
                <w:p>
                  <w:pPr>
                    <w:pStyle w:val="179"/>
                    <w:tabs>
                      <w:tab w:val="clear" w:pos="0"/>
                    </w:tabs>
                    <w:spacing w:before="0"/>
                    <w:rPr>
                      <w:rFonts w:ascii="Times New Roman" w:hAnsi="Times New Roman" w:eastAsia="宋体"/>
                      <w:kern w:val="0"/>
                      <w:szCs w:val="21"/>
                    </w:rPr>
                  </w:pPr>
                  <w:r>
                    <w:rPr>
                      <w:rFonts w:ascii="Times New Roman" w:hAnsi="Times New Roman" w:eastAsia="宋体"/>
                      <w:kern w:val="0"/>
                      <w:szCs w:val="21"/>
                    </w:rPr>
                    <w:t>《污水综合排放标准》（GB8978-1996）第二类污染物最高允许排放浓度的三级标准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5" w:type="dxa"/>
                  <w:tcBorders>
                    <w:top w:val="single" w:color="auto" w:sz="4" w:space="0"/>
                    <w:left w:val="single" w:color="auto" w:sz="4" w:space="0"/>
                    <w:bottom w:val="single" w:color="auto" w:sz="4" w:space="0"/>
                  </w:tcBorders>
                  <w:vAlign w:val="center"/>
                </w:tcPr>
                <w:p>
                  <w:pPr>
                    <w:spacing w:line="240" w:lineRule="auto"/>
                    <w:rPr>
                      <w:rFonts w:ascii="Calibri" w:hAnsi="Calibri" w:eastAsia="宋体"/>
                      <w:sz w:val="21"/>
                      <w:szCs w:val="21"/>
                    </w:rPr>
                  </w:pPr>
                  <w:r>
                    <w:rPr>
                      <w:rFonts w:ascii="Calibri" w:hAnsi="Calibri" w:eastAsia="宋体"/>
                      <w:sz w:val="21"/>
                      <w:szCs w:val="21"/>
                    </w:rPr>
                    <w:t>2</w:t>
                  </w:r>
                </w:p>
              </w:tc>
              <w:tc>
                <w:tcPr>
                  <w:tcW w:w="2023" w:type="dxa"/>
                  <w:tcBorders>
                    <w:top w:val="single" w:color="auto" w:sz="4" w:space="0"/>
                    <w:bottom w:val="single" w:color="auto" w:sz="4" w:space="0"/>
                  </w:tcBorders>
                  <w:vAlign w:val="center"/>
                </w:tcPr>
                <w:p>
                  <w:pPr>
                    <w:pStyle w:val="179"/>
                    <w:tabs>
                      <w:tab w:val="clear" w:pos="0"/>
                    </w:tabs>
                    <w:spacing w:before="0"/>
                    <w:rPr>
                      <w:rFonts w:ascii="Times New Roman" w:hAnsi="Times New Roman" w:eastAsia="宋体"/>
                      <w:kern w:val="0"/>
                      <w:szCs w:val="21"/>
                    </w:rPr>
                  </w:pPr>
                  <w:r>
                    <w:rPr>
                      <w:rFonts w:ascii="Times New Roman" w:hAnsi="Times New Roman" w:eastAsia="宋体"/>
                      <w:kern w:val="0"/>
                      <w:szCs w:val="21"/>
                    </w:rPr>
                    <w:t>COD</w:t>
                  </w:r>
                  <w:r>
                    <w:rPr>
                      <w:rFonts w:ascii="Times New Roman" w:hAnsi="Times New Roman" w:eastAsia="宋体"/>
                      <w:kern w:val="0"/>
                      <w:szCs w:val="21"/>
                      <w:vertAlign w:val="subscript"/>
                    </w:rPr>
                    <w:t>Cr</w:t>
                  </w:r>
                  <w:r>
                    <w:rPr>
                      <w:rFonts w:ascii="Times New Roman" w:hAnsi="Times New Roman" w:eastAsia="宋体"/>
                      <w:kern w:val="0"/>
                      <w:szCs w:val="21"/>
                    </w:rPr>
                    <w:t>（</w:t>
                  </w:r>
                  <w:r>
                    <w:rPr>
                      <w:rFonts w:hint="eastAsia" w:ascii="Times New Roman" w:hAnsi="Times New Roman" w:eastAsia="宋体"/>
                      <w:kern w:val="0"/>
                      <w:szCs w:val="21"/>
                    </w:rPr>
                    <w:t>mg/L</w:t>
                  </w:r>
                  <w:r>
                    <w:rPr>
                      <w:rFonts w:ascii="Times New Roman" w:hAnsi="Times New Roman" w:eastAsia="宋体"/>
                      <w:kern w:val="0"/>
                      <w:szCs w:val="21"/>
                    </w:rPr>
                    <w:t>）</w:t>
                  </w:r>
                </w:p>
              </w:tc>
              <w:tc>
                <w:tcPr>
                  <w:tcW w:w="1204" w:type="dxa"/>
                  <w:tcBorders>
                    <w:top w:val="single" w:color="auto" w:sz="4" w:space="0"/>
                    <w:bottom w:val="single" w:color="auto" w:sz="4" w:space="0"/>
                  </w:tcBorders>
                  <w:vAlign w:val="center"/>
                </w:tcPr>
                <w:p>
                  <w:pPr>
                    <w:pStyle w:val="179"/>
                    <w:tabs>
                      <w:tab w:val="clear" w:pos="0"/>
                    </w:tabs>
                    <w:spacing w:before="0"/>
                    <w:rPr>
                      <w:rFonts w:ascii="Times New Roman" w:hAnsi="Times New Roman" w:eastAsia="宋体"/>
                      <w:kern w:val="0"/>
                      <w:szCs w:val="21"/>
                    </w:rPr>
                  </w:pPr>
                  <w:r>
                    <w:rPr>
                      <w:rFonts w:ascii="Times New Roman" w:hAnsi="Times New Roman" w:eastAsia="宋体"/>
                      <w:kern w:val="0"/>
                      <w:szCs w:val="21"/>
                    </w:rPr>
                    <w:t>500</w:t>
                  </w:r>
                </w:p>
              </w:tc>
              <w:tc>
                <w:tcPr>
                  <w:tcW w:w="3606" w:type="dxa"/>
                  <w:vMerge w:val="continue"/>
                  <w:tcBorders>
                    <w:right w:val="single" w:color="auto" w:sz="4" w:space="0"/>
                  </w:tcBorders>
                  <w:vAlign w:val="center"/>
                </w:tcPr>
                <w:p>
                  <w:pPr>
                    <w:pStyle w:val="179"/>
                    <w:tabs>
                      <w:tab w:val="clear" w:pos="0"/>
                    </w:tabs>
                    <w:spacing w:before="0"/>
                    <w:rPr>
                      <w:rFonts w:ascii="Times New Roman" w:hAnsi="Times New Roman" w:eastAsia="宋体"/>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675" w:type="dxa"/>
                  <w:tcBorders>
                    <w:top w:val="single" w:color="auto" w:sz="4" w:space="0"/>
                    <w:left w:val="single" w:color="auto" w:sz="4" w:space="0"/>
                    <w:bottom w:val="single" w:color="auto" w:sz="4" w:space="0"/>
                  </w:tcBorders>
                  <w:vAlign w:val="center"/>
                </w:tcPr>
                <w:p>
                  <w:pPr>
                    <w:spacing w:line="240" w:lineRule="auto"/>
                    <w:rPr>
                      <w:rFonts w:ascii="Calibri" w:hAnsi="Calibri" w:eastAsia="宋体"/>
                      <w:sz w:val="21"/>
                      <w:szCs w:val="21"/>
                    </w:rPr>
                  </w:pPr>
                  <w:r>
                    <w:rPr>
                      <w:rFonts w:hint="eastAsia" w:ascii="Calibri" w:hAnsi="Calibri" w:eastAsia="宋体"/>
                      <w:sz w:val="21"/>
                      <w:szCs w:val="21"/>
                    </w:rPr>
                    <w:t>3</w:t>
                  </w:r>
                </w:p>
              </w:tc>
              <w:tc>
                <w:tcPr>
                  <w:tcW w:w="2023" w:type="dxa"/>
                  <w:tcBorders>
                    <w:top w:val="single" w:color="auto" w:sz="4" w:space="0"/>
                    <w:bottom w:val="single" w:color="auto" w:sz="4" w:space="0"/>
                  </w:tcBorders>
                  <w:vAlign w:val="center"/>
                </w:tcPr>
                <w:p>
                  <w:pPr>
                    <w:pStyle w:val="179"/>
                    <w:tabs>
                      <w:tab w:val="clear" w:pos="0"/>
                    </w:tabs>
                    <w:spacing w:before="0"/>
                    <w:rPr>
                      <w:rFonts w:ascii="Times New Roman" w:hAnsi="Times New Roman" w:eastAsia="宋体"/>
                      <w:kern w:val="0"/>
                      <w:szCs w:val="21"/>
                    </w:rPr>
                  </w:pPr>
                  <w:r>
                    <w:rPr>
                      <w:rFonts w:ascii="Times New Roman" w:hAnsi="Times New Roman" w:eastAsia="宋体"/>
                      <w:kern w:val="0"/>
                      <w:szCs w:val="21"/>
                    </w:rPr>
                    <w:t>BOD</w:t>
                  </w:r>
                  <w:r>
                    <w:rPr>
                      <w:rFonts w:ascii="Times New Roman" w:hAnsi="Times New Roman" w:eastAsia="宋体"/>
                      <w:kern w:val="0"/>
                      <w:szCs w:val="21"/>
                      <w:vertAlign w:val="subscript"/>
                    </w:rPr>
                    <w:t>5</w:t>
                  </w:r>
                  <w:r>
                    <w:rPr>
                      <w:rFonts w:ascii="Times New Roman" w:hAnsi="Times New Roman" w:eastAsia="宋体"/>
                      <w:kern w:val="0"/>
                      <w:szCs w:val="21"/>
                    </w:rPr>
                    <w:t>（</w:t>
                  </w:r>
                  <w:r>
                    <w:rPr>
                      <w:rFonts w:hint="eastAsia" w:ascii="Times New Roman" w:hAnsi="Times New Roman" w:eastAsia="宋体"/>
                      <w:kern w:val="0"/>
                      <w:szCs w:val="21"/>
                    </w:rPr>
                    <w:t>mg/L</w:t>
                  </w:r>
                  <w:r>
                    <w:rPr>
                      <w:rFonts w:ascii="Times New Roman" w:hAnsi="Times New Roman" w:eastAsia="宋体"/>
                      <w:kern w:val="0"/>
                      <w:szCs w:val="21"/>
                    </w:rPr>
                    <w:t>）</w:t>
                  </w:r>
                </w:p>
              </w:tc>
              <w:tc>
                <w:tcPr>
                  <w:tcW w:w="1204" w:type="dxa"/>
                  <w:tcBorders>
                    <w:top w:val="single" w:color="auto" w:sz="4" w:space="0"/>
                    <w:bottom w:val="single" w:color="auto" w:sz="4" w:space="0"/>
                  </w:tcBorders>
                  <w:vAlign w:val="center"/>
                </w:tcPr>
                <w:p>
                  <w:pPr>
                    <w:pStyle w:val="179"/>
                    <w:tabs>
                      <w:tab w:val="clear" w:pos="0"/>
                    </w:tabs>
                    <w:spacing w:before="0"/>
                    <w:rPr>
                      <w:rFonts w:ascii="Times New Roman" w:hAnsi="Times New Roman" w:eastAsia="宋体"/>
                      <w:kern w:val="0"/>
                      <w:szCs w:val="21"/>
                    </w:rPr>
                  </w:pPr>
                  <w:r>
                    <w:rPr>
                      <w:rFonts w:ascii="Times New Roman" w:hAnsi="Times New Roman" w:eastAsia="宋体"/>
                      <w:kern w:val="0"/>
                      <w:szCs w:val="21"/>
                    </w:rPr>
                    <w:t>300</w:t>
                  </w:r>
                </w:p>
              </w:tc>
              <w:tc>
                <w:tcPr>
                  <w:tcW w:w="3606" w:type="dxa"/>
                  <w:vMerge w:val="continue"/>
                  <w:tcBorders>
                    <w:right w:val="single" w:color="auto" w:sz="4" w:space="0"/>
                  </w:tcBorders>
                  <w:vAlign w:val="center"/>
                </w:tcPr>
                <w:p>
                  <w:pPr>
                    <w:pStyle w:val="179"/>
                    <w:tabs>
                      <w:tab w:val="clear" w:pos="0"/>
                    </w:tabs>
                    <w:spacing w:before="0"/>
                    <w:rPr>
                      <w:rFonts w:ascii="Times New Roman" w:hAnsi="Times New Roman" w:eastAsia="宋体"/>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5" w:type="dxa"/>
                  <w:tcBorders>
                    <w:top w:val="single" w:color="auto" w:sz="4" w:space="0"/>
                    <w:left w:val="single" w:color="auto" w:sz="4" w:space="0"/>
                    <w:bottom w:val="single" w:color="auto" w:sz="4" w:space="0"/>
                  </w:tcBorders>
                  <w:vAlign w:val="center"/>
                </w:tcPr>
                <w:p>
                  <w:pPr>
                    <w:spacing w:line="240" w:lineRule="auto"/>
                    <w:rPr>
                      <w:rFonts w:ascii="Calibri" w:hAnsi="Calibri" w:eastAsia="宋体"/>
                      <w:sz w:val="21"/>
                      <w:szCs w:val="21"/>
                    </w:rPr>
                  </w:pPr>
                  <w:r>
                    <w:rPr>
                      <w:rFonts w:ascii="Calibri" w:hAnsi="Calibri" w:eastAsia="宋体"/>
                      <w:sz w:val="21"/>
                      <w:szCs w:val="21"/>
                    </w:rPr>
                    <w:t>4</w:t>
                  </w:r>
                </w:p>
              </w:tc>
              <w:tc>
                <w:tcPr>
                  <w:tcW w:w="2023" w:type="dxa"/>
                  <w:tcBorders>
                    <w:top w:val="single" w:color="auto" w:sz="4" w:space="0"/>
                    <w:bottom w:val="single" w:color="auto" w:sz="4" w:space="0"/>
                  </w:tcBorders>
                  <w:vAlign w:val="center"/>
                </w:tcPr>
                <w:p>
                  <w:pPr>
                    <w:pStyle w:val="179"/>
                    <w:tabs>
                      <w:tab w:val="clear" w:pos="0"/>
                    </w:tabs>
                    <w:spacing w:before="0"/>
                    <w:rPr>
                      <w:rFonts w:ascii="Times New Roman" w:hAnsi="Times New Roman" w:eastAsia="宋体"/>
                      <w:kern w:val="0"/>
                      <w:szCs w:val="21"/>
                    </w:rPr>
                  </w:pPr>
                  <w:r>
                    <w:rPr>
                      <w:rFonts w:ascii="Times New Roman" w:hAnsi="Times New Roman" w:eastAsia="宋体"/>
                      <w:kern w:val="0"/>
                      <w:szCs w:val="21"/>
                    </w:rPr>
                    <w:t>SS（</w:t>
                  </w:r>
                  <w:r>
                    <w:rPr>
                      <w:rFonts w:hint="eastAsia" w:ascii="Times New Roman" w:hAnsi="Times New Roman" w:eastAsia="宋体"/>
                      <w:kern w:val="0"/>
                      <w:szCs w:val="21"/>
                    </w:rPr>
                    <w:t>mg/L</w:t>
                  </w:r>
                  <w:r>
                    <w:rPr>
                      <w:rFonts w:ascii="Times New Roman" w:hAnsi="Times New Roman" w:eastAsia="宋体"/>
                      <w:kern w:val="0"/>
                      <w:szCs w:val="21"/>
                    </w:rPr>
                    <w:t>）</w:t>
                  </w:r>
                </w:p>
              </w:tc>
              <w:tc>
                <w:tcPr>
                  <w:tcW w:w="1204" w:type="dxa"/>
                  <w:tcBorders>
                    <w:top w:val="single" w:color="auto" w:sz="4" w:space="0"/>
                    <w:bottom w:val="single" w:color="auto" w:sz="4" w:space="0"/>
                  </w:tcBorders>
                  <w:vAlign w:val="center"/>
                </w:tcPr>
                <w:p>
                  <w:pPr>
                    <w:pStyle w:val="179"/>
                    <w:tabs>
                      <w:tab w:val="clear" w:pos="0"/>
                    </w:tabs>
                    <w:spacing w:before="0"/>
                    <w:rPr>
                      <w:rFonts w:ascii="Times New Roman" w:hAnsi="Times New Roman" w:eastAsia="宋体"/>
                      <w:kern w:val="0"/>
                      <w:szCs w:val="21"/>
                    </w:rPr>
                  </w:pPr>
                  <w:r>
                    <w:rPr>
                      <w:rFonts w:ascii="Times New Roman" w:hAnsi="Times New Roman" w:eastAsia="宋体"/>
                      <w:kern w:val="0"/>
                      <w:szCs w:val="21"/>
                    </w:rPr>
                    <w:t>400</w:t>
                  </w:r>
                </w:p>
              </w:tc>
              <w:tc>
                <w:tcPr>
                  <w:tcW w:w="3606" w:type="dxa"/>
                  <w:vMerge w:val="continue"/>
                  <w:tcBorders>
                    <w:right w:val="single" w:color="auto" w:sz="4" w:space="0"/>
                  </w:tcBorders>
                  <w:vAlign w:val="center"/>
                </w:tcPr>
                <w:p>
                  <w:pPr>
                    <w:pStyle w:val="179"/>
                    <w:tabs>
                      <w:tab w:val="clear" w:pos="0"/>
                    </w:tabs>
                    <w:spacing w:before="0"/>
                    <w:rPr>
                      <w:rFonts w:ascii="Times New Roman" w:hAnsi="Times New Roman" w:eastAsia="宋体"/>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5" w:type="dxa"/>
                  <w:tcBorders>
                    <w:top w:val="single" w:color="auto" w:sz="4" w:space="0"/>
                    <w:left w:val="single" w:color="auto" w:sz="4" w:space="0"/>
                    <w:bottom w:val="single" w:color="auto" w:sz="4" w:space="0"/>
                  </w:tcBorders>
                  <w:vAlign w:val="center"/>
                </w:tcPr>
                <w:p>
                  <w:pPr>
                    <w:spacing w:line="240" w:lineRule="auto"/>
                    <w:rPr>
                      <w:rFonts w:ascii="Calibri" w:hAnsi="Calibri" w:eastAsia="宋体"/>
                      <w:sz w:val="21"/>
                      <w:szCs w:val="21"/>
                    </w:rPr>
                  </w:pPr>
                  <w:r>
                    <w:rPr>
                      <w:rFonts w:ascii="Calibri" w:hAnsi="Calibri" w:eastAsia="宋体"/>
                      <w:sz w:val="21"/>
                      <w:szCs w:val="21"/>
                    </w:rPr>
                    <w:t>5</w:t>
                  </w:r>
                </w:p>
              </w:tc>
              <w:tc>
                <w:tcPr>
                  <w:tcW w:w="2023" w:type="dxa"/>
                  <w:tcBorders>
                    <w:top w:val="single" w:color="auto" w:sz="4" w:space="0"/>
                    <w:bottom w:val="single" w:color="auto" w:sz="4" w:space="0"/>
                  </w:tcBorders>
                  <w:vAlign w:val="center"/>
                </w:tcPr>
                <w:p>
                  <w:pPr>
                    <w:pStyle w:val="179"/>
                    <w:tabs>
                      <w:tab w:val="clear" w:pos="0"/>
                    </w:tabs>
                    <w:spacing w:before="0"/>
                    <w:rPr>
                      <w:rFonts w:ascii="Times New Roman" w:hAnsi="Times New Roman" w:eastAsia="宋体"/>
                      <w:kern w:val="0"/>
                      <w:szCs w:val="21"/>
                    </w:rPr>
                  </w:pPr>
                  <w:r>
                    <w:rPr>
                      <w:rFonts w:hint="eastAsia" w:ascii="Times New Roman" w:hAnsi="Times New Roman" w:eastAsia="宋体"/>
                      <w:kern w:val="0"/>
                      <w:szCs w:val="21"/>
                    </w:rPr>
                    <w:t>动植物油类</w:t>
                  </w:r>
                  <w:r>
                    <w:rPr>
                      <w:rFonts w:ascii="Times New Roman" w:hAnsi="Times New Roman" w:eastAsia="宋体"/>
                      <w:kern w:val="0"/>
                      <w:szCs w:val="21"/>
                    </w:rPr>
                    <w:t>（</w:t>
                  </w:r>
                  <w:r>
                    <w:rPr>
                      <w:rFonts w:hint="eastAsia" w:ascii="Times New Roman" w:hAnsi="Times New Roman" w:eastAsia="宋体"/>
                      <w:kern w:val="0"/>
                      <w:szCs w:val="21"/>
                    </w:rPr>
                    <w:t>mg/L</w:t>
                  </w:r>
                  <w:r>
                    <w:rPr>
                      <w:rFonts w:ascii="Times New Roman" w:hAnsi="Times New Roman" w:eastAsia="宋体"/>
                      <w:kern w:val="0"/>
                      <w:szCs w:val="21"/>
                    </w:rPr>
                    <w:t>）</w:t>
                  </w:r>
                </w:p>
              </w:tc>
              <w:tc>
                <w:tcPr>
                  <w:tcW w:w="1204" w:type="dxa"/>
                  <w:tcBorders>
                    <w:top w:val="single" w:color="auto" w:sz="4" w:space="0"/>
                    <w:bottom w:val="single" w:color="auto" w:sz="4" w:space="0"/>
                  </w:tcBorders>
                  <w:vAlign w:val="center"/>
                </w:tcPr>
                <w:p>
                  <w:pPr>
                    <w:pStyle w:val="179"/>
                    <w:tabs>
                      <w:tab w:val="clear" w:pos="0"/>
                    </w:tabs>
                    <w:spacing w:before="0"/>
                    <w:rPr>
                      <w:rFonts w:ascii="Times New Roman" w:hAnsi="Times New Roman" w:eastAsia="宋体"/>
                      <w:kern w:val="0"/>
                      <w:szCs w:val="21"/>
                    </w:rPr>
                  </w:pPr>
                  <w:r>
                    <w:rPr>
                      <w:rFonts w:hint="eastAsia" w:ascii="Times New Roman" w:hAnsi="Times New Roman" w:eastAsia="宋体"/>
                      <w:kern w:val="0"/>
                      <w:szCs w:val="21"/>
                    </w:rPr>
                    <w:t>100</w:t>
                  </w:r>
                </w:p>
              </w:tc>
              <w:tc>
                <w:tcPr>
                  <w:tcW w:w="3606" w:type="dxa"/>
                  <w:vMerge w:val="continue"/>
                  <w:tcBorders>
                    <w:right w:val="single" w:color="auto" w:sz="4" w:space="0"/>
                  </w:tcBorders>
                  <w:vAlign w:val="center"/>
                </w:tcPr>
                <w:p>
                  <w:pPr>
                    <w:pStyle w:val="179"/>
                    <w:tabs>
                      <w:tab w:val="clear" w:pos="0"/>
                    </w:tabs>
                    <w:spacing w:before="0"/>
                    <w:rPr>
                      <w:rFonts w:ascii="Times New Roman" w:hAnsi="Times New Roman" w:eastAsia="宋体"/>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75" w:type="dxa"/>
                  <w:tcBorders>
                    <w:top w:val="single" w:color="auto" w:sz="4" w:space="0"/>
                    <w:left w:val="single" w:color="auto" w:sz="4" w:space="0"/>
                    <w:bottom w:val="single" w:color="auto" w:sz="4" w:space="0"/>
                  </w:tcBorders>
                  <w:vAlign w:val="center"/>
                </w:tcPr>
                <w:p>
                  <w:pPr>
                    <w:spacing w:line="240" w:lineRule="auto"/>
                    <w:rPr>
                      <w:rFonts w:ascii="Calibri" w:hAnsi="Calibri" w:eastAsia="宋体"/>
                      <w:sz w:val="21"/>
                      <w:szCs w:val="21"/>
                    </w:rPr>
                  </w:pPr>
                  <w:r>
                    <w:rPr>
                      <w:rFonts w:ascii="Calibri" w:hAnsi="Calibri" w:eastAsia="宋体"/>
                      <w:sz w:val="21"/>
                      <w:szCs w:val="21"/>
                    </w:rPr>
                    <w:t>7</w:t>
                  </w:r>
                </w:p>
              </w:tc>
              <w:tc>
                <w:tcPr>
                  <w:tcW w:w="2023" w:type="dxa"/>
                  <w:tcBorders>
                    <w:top w:val="single" w:color="auto" w:sz="4" w:space="0"/>
                    <w:bottom w:val="single" w:color="auto" w:sz="4" w:space="0"/>
                  </w:tcBorders>
                  <w:vAlign w:val="center"/>
                </w:tcPr>
                <w:p>
                  <w:pPr>
                    <w:pStyle w:val="179"/>
                    <w:tabs>
                      <w:tab w:val="clear" w:pos="0"/>
                    </w:tabs>
                    <w:spacing w:before="0"/>
                    <w:rPr>
                      <w:rFonts w:ascii="Times New Roman" w:hAnsi="Times New Roman" w:eastAsia="宋体"/>
                      <w:kern w:val="0"/>
                      <w:szCs w:val="21"/>
                    </w:rPr>
                  </w:pPr>
                  <w:r>
                    <w:rPr>
                      <w:rFonts w:ascii="Times New Roman" w:hAnsi="Times New Roman" w:eastAsia="宋体"/>
                      <w:kern w:val="0"/>
                      <w:szCs w:val="21"/>
                    </w:rPr>
                    <w:t>氨氮（</w:t>
                  </w:r>
                  <w:r>
                    <w:rPr>
                      <w:rFonts w:hint="eastAsia" w:ascii="Times New Roman" w:hAnsi="Times New Roman" w:eastAsia="宋体"/>
                      <w:kern w:val="0"/>
                      <w:szCs w:val="21"/>
                    </w:rPr>
                    <w:t>mg/L</w:t>
                  </w:r>
                  <w:r>
                    <w:rPr>
                      <w:rFonts w:ascii="Times New Roman" w:hAnsi="Times New Roman" w:eastAsia="宋体"/>
                      <w:kern w:val="0"/>
                      <w:szCs w:val="21"/>
                    </w:rPr>
                    <w:t>）</w:t>
                  </w:r>
                </w:p>
              </w:tc>
              <w:tc>
                <w:tcPr>
                  <w:tcW w:w="1204" w:type="dxa"/>
                  <w:tcBorders>
                    <w:top w:val="single" w:color="auto" w:sz="4" w:space="0"/>
                    <w:bottom w:val="single" w:color="auto" w:sz="4" w:space="0"/>
                  </w:tcBorders>
                  <w:vAlign w:val="center"/>
                </w:tcPr>
                <w:p>
                  <w:pPr>
                    <w:pStyle w:val="179"/>
                    <w:tabs>
                      <w:tab w:val="clear" w:pos="0"/>
                    </w:tabs>
                    <w:spacing w:before="0"/>
                    <w:rPr>
                      <w:rFonts w:ascii="Times New Roman" w:hAnsi="Times New Roman" w:eastAsia="宋体"/>
                      <w:kern w:val="0"/>
                      <w:szCs w:val="21"/>
                    </w:rPr>
                  </w:pPr>
                  <w:r>
                    <w:rPr>
                      <w:rFonts w:ascii="Times New Roman" w:hAnsi="Times New Roman" w:eastAsia="宋体"/>
                      <w:kern w:val="0"/>
                      <w:szCs w:val="21"/>
                    </w:rPr>
                    <w:t>45</w:t>
                  </w:r>
                </w:p>
              </w:tc>
              <w:tc>
                <w:tcPr>
                  <w:tcW w:w="3606" w:type="dxa"/>
                  <w:tcBorders>
                    <w:right w:val="single" w:color="auto" w:sz="4" w:space="0"/>
                  </w:tcBorders>
                  <w:vAlign w:val="center"/>
                </w:tcPr>
                <w:p>
                  <w:pPr>
                    <w:pStyle w:val="179"/>
                    <w:spacing w:before="0"/>
                    <w:rPr>
                      <w:rFonts w:ascii="Times New Roman" w:hAnsi="Times New Roman" w:eastAsia="宋体"/>
                      <w:kern w:val="0"/>
                      <w:szCs w:val="21"/>
                    </w:rPr>
                  </w:pPr>
                  <w:r>
                    <w:rPr>
                      <w:rFonts w:hint="eastAsia" w:ascii="Times New Roman" w:hAnsi="Times New Roman" w:eastAsia="宋体"/>
                      <w:kern w:val="0"/>
                      <w:szCs w:val="21"/>
                    </w:rPr>
                    <w:t>《工业企业废水氨、磷污染物间接排放限值》（D</w:t>
                  </w:r>
                  <w:r>
                    <w:rPr>
                      <w:rFonts w:ascii="Times New Roman" w:hAnsi="Times New Roman" w:eastAsia="宋体"/>
                      <w:kern w:val="0"/>
                      <w:szCs w:val="21"/>
                    </w:rPr>
                    <w:t>B33/887-2013</w:t>
                  </w:r>
                  <w:r>
                    <w:rPr>
                      <w:rFonts w:hint="eastAsia" w:ascii="Times New Roman" w:hAnsi="Times New Roman" w:eastAsia="宋体"/>
                      <w:kern w:val="0"/>
                      <w:szCs w:val="21"/>
                    </w:rPr>
                    <w:t>）</w:t>
                  </w:r>
                </w:p>
              </w:tc>
            </w:tr>
          </w:tbl>
          <w:p>
            <w:pPr>
              <w:pStyle w:val="30"/>
              <w:spacing w:before="156" w:beforeLines="50" w:after="0" w:line="240" w:lineRule="auto"/>
              <w:ind w:firstLine="0" w:firstLineChars="0"/>
              <w:jc w:val="center"/>
              <w:rPr>
                <w:rFonts w:eastAsia="宋体"/>
                <w:b/>
                <w:sz w:val="21"/>
                <w:szCs w:val="21"/>
              </w:rPr>
            </w:pPr>
            <w:r>
              <w:rPr>
                <w:rFonts w:eastAsia="宋体"/>
                <w:b/>
                <w:sz w:val="21"/>
                <w:szCs w:val="21"/>
              </w:rPr>
              <w:t>表</w:t>
            </w:r>
            <w:r>
              <w:rPr>
                <w:rFonts w:hint="eastAsia" w:eastAsia="宋体"/>
                <w:b/>
                <w:sz w:val="21"/>
                <w:szCs w:val="21"/>
              </w:rPr>
              <w:t>3-12临平净水厂水污染物排放标准</w:t>
            </w:r>
            <w:r>
              <w:rPr>
                <w:rFonts w:hint="eastAsia" w:hAnsi="宋体" w:eastAsia="宋体"/>
                <w:b/>
                <w:kern w:val="0"/>
                <w:sz w:val="21"/>
                <w:szCs w:val="21"/>
              </w:rPr>
              <w:t xml:space="preserve"> </w:t>
            </w:r>
          </w:p>
          <w:tbl>
            <w:tblPr>
              <w:tblStyle w:val="31"/>
              <w:tblW w:w="5000"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692"/>
              <w:gridCol w:w="1580"/>
              <w:gridCol w:w="1008"/>
              <w:gridCol w:w="1789"/>
              <w:gridCol w:w="2444"/>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tcBorders>
                    <w:bottom w:val="single" w:color="auto" w:sz="4" w:space="0"/>
                  </w:tcBorders>
                  <w:vAlign w:val="center"/>
                </w:tcPr>
                <w:p>
                  <w:pPr>
                    <w:spacing w:line="240" w:lineRule="auto"/>
                    <w:jc w:val="center"/>
                    <w:rPr>
                      <w:rFonts w:eastAsia="宋体"/>
                      <w:sz w:val="21"/>
                      <w:szCs w:val="21"/>
                    </w:rPr>
                  </w:pPr>
                  <w:r>
                    <w:rPr>
                      <w:rFonts w:eastAsia="宋体"/>
                      <w:sz w:val="21"/>
                      <w:szCs w:val="21"/>
                    </w:rPr>
                    <w:t>序号</w:t>
                  </w:r>
                </w:p>
              </w:tc>
              <w:tc>
                <w:tcPr>
                  <w:tcW w:w="1580" w:type="dxa"/>
                  <w:tcBorders>
                    <w:bottom w:val="single" w:color="auto" w:sz="4" w:space="0"/>
                    <w:right w:val="single" w:color="auto" w:sz="4" w:space="0"/>
                  </w:tcBorders>
                  <w:vAlign w:val="center"/>
                </w:tcPr>
                <w:p>
                  <w:pPr>
                    <w:pStyle w:val="179"/>
                    <w:tabs>
                      <w:tab w:val="clear" w:pos="0"/>
                    </w:tabs>
                    <w:spacing w:before="0"/>
                    <w:rPr>
                      <w:rFonts w:ascii="Times New Roman" w:hAnsi="Times New Roman" w:eastAsia="宋体"/>
                      <w:szCs w:val="21"/>
                    </w:rPr>
                  </w:pPr>
                  <w:r>
                    <w:rPr>
                      <w:rFonts w:ascii="Times New Roman" w:hAnsi="Times New Roman" w:eastAsia="宋体"/>
                      <w:szCs w:val="21"/>
                    </w:rPr>
                    <w:t>基本控制目标</w:t>
                  </w:r>
                </w:p>
              </w:tc>
              <w:tc>
                <w:tcPr>
                  <w:tcW w:w="1008" w:type="dxa"/>
                  <w:tcBorders>
                    <w:left w:val="single" w:color="auto" w:sz="4" w:space="0"/>
                    <w:bottom w:val="single" w:color="auto" w:sz="4" w:space="0"/>
                  </w:tcBorders>
                  <w:vAlign w:val="center"/>
                </w:tcPr>
                <w:p>
                  <w:pPr>
                    <w:pStyle w:val="179"/>
                    <w:tabs>
                      <w:tab w:val="clear" w:pos="0"/>
                    </w:tabs>
                    <w:spacing w:before="0"/>
                    <w:rPr>
                      <w:rFonts w:ascii="Times New Roman" w:hAnsi="Times New Roman" w:eastAsia="宋体"/>
                      <w:szCs w:val="21"/>
                    </w:rPr>
                  </w:pPr>
                  <w:r>
                    <w:rPr>
                      <w:rFonts w:ascii="Times New Roman" w:hAnsi="Times New Roman" w:eastAsia="宋体"/>
                      <w:szCs w:val="21"/>
                    </w:rPr>
                    <w:t>单位</w:t>
                  </w:r>
                </w:p>
              </w:tc>
              <w:tc>
                <w:tcPr>
                  <w:tcW w:w="1789" w:type="dxa"/>
                  <w:tcBorders>
                    <w:bottom w:val="single" w:color="auto" w:sz="4" w:space="0"/>
                  </w:tcBorders>
                  <w:vAlign w:val="center"/>
                </w:tcPr>
                <w:p>
                  <w:pPr>
                    <w:pStyle w:val="179"/>
                    <w:tabs>
                      <w:tab w:val="clear" w:pos="0"/>
                    </w:tabs>
                    <w:spacing w:before="0"/>
                    <w:rPr>
                      <w:rFonts w:ascii="Times New Roman" w:hAnsi="Times New Roman" w:eastAsia="宋体"/>
                      <w:szCs w:val="21"/>
                    </w:rPr>
                  </w:pPr>
                  <w:r>
                    <w:rPr>
                      <w:rFonts w:hint="eastAsia" w:ascii="Times New Roman" w:hAnsi="Times New Roman" w:eastAsia="宋体"/>
                      <w:szCs w:val="21"/>
                    </w:rPr>
                    <w:t>出水浓度限制</w:t>
                  </w:r>
                </w:p>
              </w:tc>
              <w:tc>
                <w:tcPr>
                  <w:tcW w:w="2443" w:type="dxa"/>
                  <w:tcBorders>
                    <w:bottom w:val="single" w:color="auto" w:sz="4" w:space="0"/>
                  </w:tcBorders>
                  <w:vAlign w:val="center"/>
                </w:tcPr>
                <w:p>
                  <w:pPr>
                    <w:pStyle w:val="179"/>
                    <w:tabs>
                      <w:tab w:val="clear" w:pos="0"/>
                    </w:tabs>
                    <w:spacing w:before="0"/>
                    <w:rPr>
                      <w:rFonts w:ascii="Times New Roman" w:hAnsi="Times New Roman" w:eastAsia="宋体"/>
                      <w:szCs w:val="21"/>
                    </w:rPr>
                  </w:pPr>
                  <w:r>
                    <w:rPr>
                      <w:rFonts w:hint="eastAsia" w:ascii="Times New Roman" w:hAnsi="Times New Roman" w:eastAsia="宋体"/>
                      <w:szCs w:val="21"/>
                    </w:rPr>
                    <w:t>标准</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Align w:val="center"/>
                </w:tcPr>
                <w:p>
                  <w:pPr>
                    <w:spacing w:line="240" w:lineRule="auto"/>
                    <w:jc w:val="center"/>
                    <w:rPr>
                      <w:rFonts w:eastAsia="宋体"/>
                      <w:sz w:val="21"/>
                      <w:szCs w:val="21"/>
                    </w:rPr>
                  </w:pPr>
                  <w:r>
                    <w:rPr>
                      <w:rFonts w:eastAsia="宋体"/>
                      <w:sz w:val="21"/>
                      <w:szCs w:val="21"/>
                    </w:rPr>
                    <w:t>1</w:t>
                  </w:r>
                </w:p>
              </w:tc>
              <w:tc>
                <w:tcPr>
                  <w:tcW w:w="1580" w:type="dxa"/>
                  <w:tcBorders>
                    <w:right w:val="single" w:color="auto" w:sz="4" w:space="0"/>
                  </w:tcBorders>
                  <w:vAlign w:val="center"/>
                </w:tcPr>
                <w:p>
                  <w:pPr>
                    <w:pStyle w:val="179"/>
                    <w:tabs>
                      <w:tab w:val="clear" w:pos="0"/>
                    </w:tabs>
                    <w:spacing w:before="0"/>
                    <w:rPr>
                      <w:rFonts w:ascii="Times New Roman" w:hAnsi="Times New Roman" w:eastAsia="宋体"/>
                      <w:szCs w:val="21"/>
                    </w:rPr>
                  </w:pPr>
                  <w:r>
                    <w:rPr>
                      <w:rFonts w:hint="eastAsia" w:ascii="Times New Roman" w:hAnsi="Times New Roman" w:eastAsia="宋体"/>
                      <w:szCs w:val="21"/>
                    </w:rPr>
                    <w:t>p</w:t>
                  </w:r>
                  <w:r>
                    <w:rPr>
                      <w:rFonts w:ascii="Times New Roman" w:hAnsi="Times New Roman" w:eastAsia="宋体"/>
                      <w:szCs w:val="21"/>
                    </w:rPr>
                    <w:t>H</w:t>
                  </w:r>
                </w:p>
              </w:tc>
              <w:tc>
                <w:tcPr>
                  <w:tcW w:w="1008" w:type="dxa"/>
                  <w:tcBorders>
                    <w:left w:val="single" w:color="auto" w:sz="4" w:space="0"/>
                  </w:tcBorders>
                  <w:vAlign w:val="center"/>
                </w:tcPr>
                <w:p>
                  <w:pPr>
                    <w:adjustRightInd w:val="0"/>
                    <w:snapToGrid w:val="0"/>
                    <w:spacing w:line="240" w:lineRule="auto"/>
                    <w:jc w:val="center"/>
                    <w:rPr>
                      <w:rFonts w:eastAsia="宋体"/>
                      <w:sz w:val="21"/>
                      <w:szCs w:val="21"/>
                    </w:rPr>
                  </w:pPr>
                  <w:r>
                    <w:rPr>
                      <w:rFonts w:hint="eastAsia" w:eastAsia="宋体"/>
                      <w:sz w:val="21"/>
                      <w:szCs w:val="21"/>
                    </w:rPr>
                    <w:t>/</w:t>
                  </w:r>
                </w:p>
              </w:tc>
              <w:tc>
                <w:tcPr>
                  <w:tcW w:w="1789" w:type="dxa"/>
                  <w:vAlign w:val="center"/>
                </w:tcPr>
                <w:p>
                  <w:pPr>
                    <w:pStyle w:val="179"/>
                    <w:tabs>
                      <w:tab w:val="clear" w:pos="0"/>
                    </w:tabs>
                    <w:spacing w:before="0"/>
                    <w:rPr>
                      <w:rFonts w:ascii="Times New Roman" w:hAnsi="Times New Roman" w:eastAsia="宋体"/>
                      <w:szCs w:val="21"/>
                    </w:rPr>
                  </w:pPr>
                  <w:r>
                    <w:rPr>
                      <w:rFonts w:ascii="Times New Roman" w:hAnsi="Times New Roman" w:eastAsia="宋体"/>
                      <w:kern w:val="0"/>
                      <w:szCs w:val="21"/>
                    </w:rPr>
                    <w:t>6~9</w:t>
                  </w:r>
                </w:p>
              </w:tc>
              <w:tc>
                <w:tcPr>
                  <w:tcW w:w="2443" w:type="dxa"/>
                  <w:vMerge w:val="restart"/>
                  <w:vAlign w:val="center"/>
                </w:tcPr>
                <w:p>
                  <w:pPr>
                    <w:pStyle w:val="179"/>
                    <w:rPr>
                      <w:rFonts w:ascii="Times New Roman" w:hAnsi="Times New Roman" w:eastAsia="宋体"/>
                      <w:szCs w:val="21"/>
                    </w:rPr>
                  </w:pPr>
                  <w:r>
                    <w:rPr>
                      <w:rFonts w:ascii="Times New Roman" w:hAnsi="Times New Roman" w:eastAsia="宋体"/>
                      <w:szCs w:val="21"/>
                    </w:rPr>
                    <w:t>《城镇污水处理厂污染物排放标准》（GB18918-2002）表1中一级A标准</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Align w:val="center"/>
                </w:tcPr>
                <w:p>
                  <w:pPr>
                    <w:spacing w:line="240" w:lineRule="auto"/>
                    <w:jc w:val="center"/>
                    <w:rPr>
                      <w:rFonts w:eastAsia="宋体"/>
                      <w:sz w:val="21"/>
                      <w:szCs w:val="21"/>
                    </w:rPr>
                  </w:pPr>
                  <w:r>
                    <w:rPr>
                      <w:rFonts w:hint="eastAsia" w:eastAsia="宋体"/>
                      <w:sz w:val="21"/>
                      <w:szCs w:val="21"/>
                    </w:rPr>
                    <w:t>2</w:t>
                  </w:r>
                </w:p>
              </w:tc>
              <w:tc>
                <w:tcPr>
                  <w:tcW w:w="1580" w:type="dxa"/>
                  <w:tcBorders>
                    <w:right w:val="single" w:color="auto" w:sz="4" w:space="0"/>
                  </w:tcBorders>
                  <w:vAlign w:val="center"/>
                </w:tcPr>
                <w:p>
                  <w:pPr>
                    <w:pStyle w:val="179"/>
                    <w:tabs>
                      <w:tab w:val="clear" w:pos="0"/>
                    </w:tabs>
                    <w:spacing w:before="0"/>
                    <w:rPr>
                      <w:rFonts w:ascii="Times New Roman" w:hAnsi="Times New Roman" w:eastAsia="宋体"/>
                      <w:szCs w:val="21"/>
                    </w:rPr>
                  </w:pPr>
                  <w:r>
                    <w:rPr>
                      <w:rFonts w:ascii="Times New Roman" w:hAnsi="Times New Roman" w:eastAsia="宋体"/>
                      <w:szCs w:val="21"/>
                    </w:rPr>
                    <w:t>BOD</w:t>
                  </w:r>
                  <w:r>
                    <w:rPr>
                      <w:rFonts w:ascii="Times New Roman" w:hAnsi="Times New Roman" w:eastAsia="宋体"/>
                      <w:szCs w:val="21"/>
                      <w:vertAlign w:val="subscript"/>
                    </w:rPr>
                    <w:t>5</w:t>
                  </w:r>
                </w:p>
              </w:tc>
              <w:tc>
                <w:tcPr>
                  <w:tcW w:w="1008" w:type="dxa"/>
                  <w:tcBorders>
                    <w:left w:val="single" w:color="auto" w:sz="4" w:space="0"/>
                  </w:tcBorders>
                  <w:vAlign w:val="center"/>
                </w:tcPr>
                <w:p>
                  <w:pPr>
                    <w:adjustRightInd w:val="0"/>
                    <w:snapToGrid w:val="0"/>
                    <w:spacing w:line="240" w:lineRule="auto"/>
                    <w:jc w:val="center"/>
                    <w:rPr>
                      <w:rFonts w:eastAsia="宋体"/>
                      <w:sz w:val="21"/>
                      <w:szCs w:val="21"/>
                    </w:rPr>
                  </w:pPr>
                  <w:r>
                    <w:rPr>
                      <w:rFonts w:eastAsia="宋体"/>
                      <w:sz w:val="21"/>
                      <w:szCs w:val="21"/>
                    </w:rPr>
                    <w:t>mg/L</w:t>
                  </w:r>
                </w:p>
              </w:tc>
              <w:tc>
                <w:tcPr>
                  <w:tcW w:w="1789" w:type="dxa"/>
                  <w:vAlign w:val="center"/>
                </w:tcPr>
                <w:p>
                  <w:pPr>
                    <w:pStyle w:val="179"/>
                    <w:tabs>
                      <w:tab w:val="clear" w:pos="0"/>
                    </w:tabs>
                    <w:spacing w:before="0"/>
                    <w:rPr>
                      <w:rFonts w:ascii="Times New Roman" w:hAnsi="Times New Roman" w:eastAsia="宋体"/>
                      <w:szCs w:val="21"/>
                    </w:rPr>
                  </w:pPr>
                  <w:r>
                    <w:rPr>
                      <w:rFonts w:hint="eastAsia" w:ascii="Times New Roman" w:hAnsi="Times New Roman" w:eastAsia="宋体"/>
                      <w:szCs w:val="21"/>
                    </w:rPr>
                    <w:t>10</w:t>
                  </w:r>
                </w:p>
              </w:tc>
              <w:tc>
                <w:tcPr>
                  <w:tcW w:w="2443" w:type="dxa"/>
                  <w:vMerge w:val="continue"/>
                  <w:vAlign w:val="center"/>
                </w:tcPr>
                <w:p>
                  <w:pPr>
                    <w:pStyle w:val="179"/>
                    <w:rPr>
                      <w:rFonts w:ascii="Times New Roman" w:hAnsi="Times New Roman" w:eastAsia="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Align w:val="center"/>
                </w:tcPr>
                <w:p>
                  <w:pPr>
                    <w:spacing w:line="240" w:lineRule="auto"/>
                    <w:jc w:val="center"/>
                    <w:rPr>
                      <w:rFonts w:eastAsia="宋体"/>
                      <w:sz w:val="21"/>
                      <w:szCs w:val="21"/>
                    </w:rPr>
                  </w:pPr>
                  <w:r>
                    <w:rPr>
                      <w:rFonts w:hint="eastAsia" w:eastAsia="宋体"/>
                      <w:sz w:val="21"/>
                      <w:szCs w:val="21"/>
                    </w:rPr>
                    <w:t>3</w:t>
                  </w:r>
                </w:p>
              </w:tc>
              <w:tc>
                <w:tcPr>
                  <w:tcW w:w="1580" w:type="dxa"/>
                  <w:tcBorders>
                    <w:right w:val="single" w:color="auto" w:sz="4" w:space="0"/>
                  </w:tcBorders>
                  <w:vAlign w:val="center"/>
                </w:tcPr>
                <w:p>
                  <w:pPr>
                    <w:pStyle w:val="179"/>
                    <w:tabs>
                      <w:tab w:val="clear" w:pos="0"/>
                    </w:tabs>
                    <w:spacing w:before="0"/>
                    <w:rPr>
                      <w:rFonts w:ascii="Times New Roman" w:hAnsi="Times New Roman" w:eastAsia="宋体"/>
                      <w:szCs w:val="21"/>
                    </w:rPr>
                  </w:pPr>
                  <w:r>
                    <w:rPr>
                      <w:rFonts w:ascii="Times New Roman" w:hAnsi="Times New Roman" w:eastAsia="宋体"/>
                      <w:szCs w:val="21"/>
                    </w:rPr>
                    <w:t>SS</w:t>
                  </w:r>
                </w:p>
              </w:tc>
              <w:tc>
                <w:tcPr>
                  <w:tcW w:w="1008" w:type="dxa"/>
                  <w:tcBorders>
                    <w:left w:val="single" w:color="auto" w:sz="4" w:space="0"/>
                  </w:tcBorders>
                  <w:vAlign w:val="center"/>
                </w:tcPr>
                <w:p>
                  <w:pPr>
                    <w:adjustRightInd w:val="0"/>
                    <w:snapToGrid w:val="0"/>
                    <w:spacing w:line="240" w:lineRule="auto"/>
                    <w:jc w:val="center"/>
                    <w:rPr>
                      <w:rFonts w:eastAsia="宋体"/>
                      <w:sz w:val="21"/>
                      <w:szCs w:val="21"/>
                    </w:rPr>
                  </w:pPr>
                  <w:r>
                    <w:rPr>
                      <w:rFonts w:eastAsia="宋体"/>
                      <w:sz w:val="21"/>
                      <w:szCs w:val="21"/>
                    </w:rPr>
                    <w:t>mg/L</w:t>
                  </w:r>
                </w:p>
              </w:tc>
              <w:tc>
                <w:tcPr>
                  <w:tcW w:w="1789" w:type="dxa"/>
                  <w:vAlign w:val="center"/>
                </w:tcPr>
                <w:p>
                  <w:pPr>
                    <w:pStyle w:val="179"/>
                    <w:tabs>
                      <w:tab w:val="clear" w:pos="0"/>
                    </w:tabs>
                    <w:spacing w:before="0"/>
                    <w:rPr>
                      <w:rFonts w:ascii="Times New Roman" w:hAnsi="Times New Roman" w:eastAsia="宋体"/>
                      <w:szCs w:val="21"/>
                    </w:rPr>
                  </w:pPr>
                  <w:r>
                    <w:rPr>
                      <w:rFonts w:hint="eastAsia" w:ascii="Times New Roman" w:hAnsi="Times New Roman" w:eastAsia="宋体"/>
                      <w:szCs w:val="21"/>
                    </w:rPr>
                    <w:t>10</w:t>
                  </w:r>
                </w:p>
              </w:tc>
              <w:tc>
                <w:tcPr>
                  <w:tcW w:w="2443" w:type="dxa"/>
                  <w:vMerge w:val="continue"/>
                  <w:vAlign w:val="center"/>
                </w:tcPr>
                <w:p>
                  <w:pPr>
                    <w:pStyle w:val="179"/>
                    <w:rPr>
                      <w:rFonts w:ascii="Times New Roman" w:hAnsi="Times New Roman" w:eastAsia="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Align w:val="center"/>
                </w:tcPr>
                <w:p>
                  <w:pPr>
                    <w:spacing w:line="240" w:lineRule="auto"/>
                    <w:jc w:val="center"/>
                    <w:rPr>
                      <w:rFonts w:eastAsia="宋体"/>
                      <w:sz w:val="21"/>
                      <w:szCs w:val="21"/>
                    </w:rPr>
                  </w:pPr>
                  <w:r>
                    <w:rPr>
                      <w:rFonts w:hint="eastAsia" w:eastAsia="宋体"/>
                      <w:sz w:val="21"/>
                      <w:szCs w:val="21"/>
                    </w:rPr>
                    <w:t>4</w:t>
                  </w:r>
                </w:p>
              </w:tc>
              <w:tc>
                <w:tcPr>
                  <w:tcW w:w="1580" w:type="dxa"/>
                  <w:tcBorders>
                    <w:right w:val="single" w:color="auto" w:sz="4" w:space="0"/>
                  </w:tcBorders>
                  <w:vAlign w:val="center"/>
                </w:tcPr>
                <w:p>
                  <w:pPr>
                    <w:pStyle w:val="179"/>
                    <w:tabs>
                      <w:tab w:val="clear" w:pos="0"/>
                    </w:tabs>
                    <w:spacing w:before="0"/>
                    <w:rPr>
                      <w:rFonts w:ascii="Times New Roman" w:hAnsi="Times New Roman" w:eastAsia="宋体"/>
                      <w:szCs w:val="21"/>
                    </w:rPr>
                  </w:pPr>
                  <w:r>
                    <w:rPr>
                      <w:rFonts w:ascii="Times New Roman" w:hAnsi="Times New Roman" w:eastAsia="宋体"/>
                      <w:szCs w:val="21"/>
                    </w:rPr>
                    <w:t>动植物油</w:t>
                  </w:r>
                </w:p>
              </w:tc>
              <w:tc>
                <w:tcPr>
                  <w:tcW w:w="1008" w:type="dxa"/>
                  <w:tcBorders>
                    <w:left w:val="single" w:color="auto" w:sz="4" w:space="0"/>
                  </w:tcBorders>
                  <w:vAlign w:val="center"/>
                </w:tcPr>
                <w:p>
                  <w:pPr>
                    <w:adjustRightInd w:val="0"/>
                    <w:snapToGrid w:val="0"/>
                    <w:spacing w:line="240" w:lineRule="auto"/>
                    <w:jc w:val="center"/>
                    <w:rPr>
                      <w:rFonts w:eastAsia="宋体"/>
                      <w:sz w:val="21"/>
                      <w:szCs w:val="21"/>
                    </w:rPr>
                  </w:pPr>
                  <w:r>
                    <w:rPr>
                      <w:rFonts w:eastAsia="宋体"/>
                      <w:sz w:val="21"/>
                      <w:szCs w:val="21"/>
                    </w:rPr>
                    <w:t>mg/L</w:t>
                  </w:r>
                </w:p>
              </w:tc>
              <w:tc>
                <w:tcPr>
                  <w:tcW w:w="1789" w:type="dxa"/>
                  <w:vAlign w:val="center"/>
                </w:tcPr>
                <w:p>
                  <w:pPr>
                    <w:pStyle w:val="179"/>
                    <w:tabs>
                      <w:tab w:val="clear" w:pos="0"/>
                    </w:tabs>
                    <w:spacing w:before="0"/>
                    <w:rPr>
                      <w:rFonts w:ascii="Times New Roman" w:hAnsi="Times New Roman" w:eastAsia="宋体"/>
                      <w:szCs w:val="21"/>
                    </w:rPr>
                  </w:pPr>
                  <w:r>
                    <w:rPr>
                      <w:rFonts w:hint="eastAsia" w:ascii="Times New Roman" w:hAnsi="Times New Roman" w:eastAsia="宋体"/>
                      <w:szCs w:val="21"/>
                    </w:rPr>
                    <w:t>1</w:t>
                  </w:r>
                </w:p>
              </w:tc>
              <w:tc>
                <w:tcPr>
                  <w:tcW w:w="2443" w:type="dxa"/>
                  <w:vMerge w:val="continue"/>
                  <w:vAlign w:val="center"/>
                </w:tcPr>
                <w:p>
                  <w:pPr>
                    <w:pStyle w:val="179"/>
                    <w:rPr>
                      <w:rFonts w:ascii="Times New Roman" w:hAnsi="Times New Roman" w:eastAsia="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Align w:val="center"/>
                </w:tcPr>
                <w:p>
                  <w:pPr>
                    <w:spacing w:line="240" w:lineRule="auto"/>
                    <w:jc w:val="center"/>
                    <w:rPr>
                      <w:rFonts w:eastAsia="宋体"/>
                      <w:sz w:val="21"/>
                      <w:szCs w:val="21"/>
                    </w:rPr>
                  </w:pPr>
                  <w:r>
                    <w:rPr>
                      <w:rFonts w:hint="eastAsia" w:eastAsia="宋体"/>
                      <w:sz w:val="21"/>
                      <w:szCs w:val="21"/>
                    </w:rPr>
                    <w:t>5</w:t>
                  </w:r>
                </w:p>
              </w:tc>
              <w:tc>
                <w:tcPr>
                  <w:tcW w:w="1580" w:type="dxa"/>
                  <w:tcBorders>
                    <w:right w:val="single" w:color="auto" w:sz="4" w:space="0"/>
                  </w:tcBorders>
                  <w:vAlign w:val="center"/>
                </w:tcPr>
                <w:p>
                  <w:pPr>
                    <w:pStyle w:val="179"/>
                    <w:tabs>
                      <w:tab w:val="clear" w:pos="0"/>
                    </w:tabs>
                    <w:spacing w:before="0"/>
                    <w:rPr>
                      <w:rFonts w:ascii="Times New Roman" w:hAnsi="Times New Roman" w:eastAsia="宋体"/>
                      <w:szCs w:val="21"/>
                    </w:rPr>
                  </w:pPr>
                  <w:r>
                    <w:rPr>
                      <w:rFonts w:hint="eastAsia" w:ascii="Times New Roman" w:hAnsi="Times New Roman" w:eastAsia="宋体"/>
                      <w:szCs w:val="21"/>
                    </w:rPr>
                    <w:t>粪大肠菌群数</w:t>
                  </w:r>
                </w:p>
              </w:tc>
              <w:tc>
                <w:tcPr>
                  <w:tcW w:w="1008" w:type="dxa"/>
                  <w:tcBorders>
                    <w:left w:val="single" w:color="auto" w:sz="4" w:space="0"/>
                  </w:tcBorders>
                  <w:vAlign w:val="center"/>
                </w:tcPr>
                <w:p>
                  <w:pPr>
                    <w:adjustRightInd w:val="0"/>
                    <w:snapToGrid w:val="0"/>
                    <w:spacing w:line="240" w:lineRule="auto"/>
                    <w:jc w:val="center"/>
                    <w:rPr>
                      <w:rFonts w:eastAsia="宋体"/>
                      <w:sz w:val="21"/>
                      <w:szCs w:val="21"/>
                    </w:rPr>
                  </w:pPr>
                  <w:r>
                    <w:rPr>
                      <w:rFonts w:hint="eastAsia" w:eastAsia="宋体"/>
                      <w:szCs w:val="21"/>
                    </w:rPr>
                    <w:t>个/L</w:t>
                  </w:r>
                </w:p>
              </w:tc>
              <w:tc>
                <w:tcPr>
                  <w:tcW w:w="1789" w:type="dxa"/>
                  <w:vAlign w:val="center"/>
                </w:tcPr>
                <w:p>
                  <w:pPr>
                    <w:pStyle w:val="179"/>
                    <w:tabs>
                      <w:tab w:val="clear" w:pos="0"/>
                    </w:tabs>
                    <w:spacing w:before="0"/>
                    <w:rPr>
                      <w:rFonts w:ascii="Times New Roman" w:hAnsi="Times New Roman" w:eastAsia="宋体"/>
                      <w:szCs w:val="21"/>
                    </w:rPr>
                  </w:pPr>
                  <w:r>
                    <w:rPr>
                      <w:rFonts w:hint="eastAsia" w:ascii="Times New Roman" w:hAnsi="Times New Roman" w:eastAsia="宋体"/>
                      <w:szCs w:val="21"/>
                    </w:rPr>
                    <w:t>1000</w:t>
                  </w:r>
                </w:p>
              </w:tc>
              <w:tc>
                <w:tcPr>
                  <w:tcW w:w="2443" w:type="dxa"/>
                  <w:vMerge w:val="continue"/>
                  <w:vAlign w:val="center"/>
                </w:tcPr>
                <w:p>
                  <w:pPr>
                    <w:pStyle w:val="179"/>
                    <w:spacing w:before="0"/>
                    <w:rPr>
                      <w:rFonts w:ascii="Times New Roman" w:hAnsi="Times New Roman" w:eastAsia="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PrEx>
              <w:trPr>
                <w:trHeight w:val="23" w:hRule="atLeast"/>
                <w:jc w:val="center"/>
              </w:trPr>
              <w:tc>
                <w:tcPr>
                  <w:tcW w:w="692" w:type="dxa"/>
                  <w:vAlign w:val="center"/>
                </w:tcPr>
                <w:p>
                  <w:pPr>
                    <w:spacing w:line="240" w:lineRule="auto"/>
                    <w:jc w:val="center"/>
                    <w:rPr>
                      <w:rFonts w:eastAsia="宋体"/>
                      <w:sz w:val="21"/>
                      <w:szCs w:val="21"/>
                    </w:rPr>
                  </w:pPr>
                  <w:r>
                    <w:rPr>
                      <w:rFonts w:hint="eastAsia" w:eastAsia="宋体"/>
                      <w:sz w:val="21"/>
                      <w:szCs w:val="21"/>
                    </w:rPr>
                    <w:t>6</w:t>
                  </w:r>
                </w:p>
              </w:tc>
              <w:tc>
                <w:tcPr>
                  <w:tcW w:w="1580" w:type="dxa"/>
                  <w:tcBorders>
                    <w:right w:val="single" w:color="auto" w:sz="4" w:space="0"/>
                  </w:tcBorders>
                  <w:vAlign w:val="center"/>
                </w:tcPr>
                <w:p>
                  <w:pPr>
                    <w:pStyle w:val="179"/>
                    <w:tabs>
                      <w:tab w:val="clear" w:pos="0"/>
                    </w:tabs>
                    <w:spacing w:before="0"/>
                    <w:rPr>
                      <w:rFonts w:ascii="Times New Roman" w:hAnsi="Times New Roman" w:eastAsia="宋体"/>
                      <w:szCs w:val="21"/>
                    </w:rPr>
                  </w:pPr>
                  <w:r>
                    <w:rPr>
                      <w:rFonts w:hint="eastAsia" w:ascii="Times New Roman" w:hAnsi="Times New Roman" w:eastAsia="宋体"/>
                      <w:szCs w:val="21"/>
                    </w:rPr>
                    <w:t>COD</w:t>
                  </w:r>
                  <w:r>
                    <w:rPr>
                      <w:rFonts w:hint="eastAsia" w:ascii="Times New Roman" w:hAnsi="Times New Roman" w:eastAsia="宋体"/>
                      <w:szCs w:val="21"/>
                      <w:vertAlign w:val="subscript"/>
                    </w:rPr>
                    <w:t>Cr</w:t>
                  </w:r>
                </w:p>
              </w:tc>
              <w:tc>
                <w:tcPr>
                  <w:tcW w:w="1008" w:type="dxa"/>
                  <w:tcBorders>
                    <w:left w:val="single" w:color="auto" w:sz="4" w:space="0"/>
                  </w:tcBorders>
                  <w:vAlign w:val="center"/>
                </w:tcPr>
                <w:p>
                  <w:pPr>
                    <w:adjustRightInd w:val="0"/>
                    <w:snapToGrid w:val="0"/>
                    <w:spacing w:line="240" w:lineRule="auto"/>
                    <w:jc w:val="center"/>
                    <w:rPr>
                      <w:rFonts w:eastAsia="宋体"/>
                      <w:sz w:val="21"/>
                      <w:szCs w:val="21"/>
                    </w:rPr>
                  </w:pPr>
                  <w:r>
                    <w:rPr>
                      <w:rFonts w:eastAsia="宋体"/>
                      <w:sz w:val="21"/>
                      <w:szCs w:val="21"/>
                    </w:rPr>
                    <w:t>mg/L</w:t>
                  </w:r>
                </w:p>
              </w:tc>
              <w:tc>
                <w:tcPr>
                  <w:tcW w:w="1789" w:type="dxa"/>
                  <w:vAlign w:val="center"/>
                </w:tcPr>
                <w:p>
                  <w:pPr>
                    <w:pStyle w:val="179"/>
                    <w:tabs>
                      <w:tab w:val="clear" w:pos="0"/>
                    </w:tabs>
                    <w:spacing w:before="0"/>
                    <w:rPr>
                      <w:rFonts w:ascii="Times New Roman" w:hAnsi="Times New Roman" w:eastAsia="宋体"/>
                      <w:szCs w:val="21"/>
                    </w:rPr>
                  </w:pPr>
                  <w:r>
                    <w:rPr>
                      <w:rFonts w:hint="eastAsia" w:ascii="Times New Roman" w:hAnsi="Times New Roman" w:eastAsia="宋体"/>
                      <w:szCs w:val="21"/>
                    </w:rPr>
                    <w:t>40</w:t>
                  </w:r>
                </w:p>
              </w:tc>
              <w:tc>
                <w:tcPr>
                  <w:tcW w:w="2443" w:type="dxa"/>
                  <w:vMerge w:val="restart"/>
                  <w:vAlign w:val="center"/>
                </w:tcPr>
                <w:p>
                  <w:pPr>
                    <w:pStyle w:val="179"/>
                    <w:tabs>
                      <w:tab w:val="clear" w:pos="0"/>
                    </w:tabs>
                    <w:spacing w:before="0"/>
                    <w:rPr>
                      <w:rFonts w:ascii="Times New Roman" w:hAnsi="Times New Roman" w:eastAsia="宋体"/>
                      <w:szCs w:val="21"/>
                    </w:rPr>
                  </w:pPr>
                  <w:r>
                    <w:rPr>
                      <w:rFonts w:hint="eastAsia" w:ascii="Times New Roman" w:hAnsi="Times New Roman" w:eastAsia="宋体" w:cs="Times New Roman"/>
                    </w:rPr>
                    <w:t>《城镇污水处理厂主要水污染物排放标准》（DB33/2169-2018）</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Align w:val="center"/>
                </w:tcPr>
                <w:p>
                  <w:pPr>
                    <w:spacing w:line="240" w:lineRule="auto"/>
                    <w:jc w:val="center"/>
                    <w:rPr>
                      <w:rFonts w:eastAsia="宋体"/>
                      <w:sz w:val="21"/>
                      <w:szCs w:val="21"/>
                    </w:rPr>
                  </w:pPr>
                  <w:r>
                    <w:rPr>
                      <w:rFonts w:hint="eastAsia" w:eastAsia="宋体"/>
                      <w:sz w:val="21"/>
                      <w:szCs w:val="21"/>
                    </w:rPr>
                    <w:t>7</w:t>
                  </w:r>
                </w:p>
              </w:tc>
              <w:tc>
                <w:tcPr>
                  <w:tcW w:w="1580" w:type="dxa"/>
                  <w:tcBorders>
                    <w:right w:val="single" w:color="auto" w:sz="4" w:space="0"/>
                  </w:tcBorders>
                  <w:vAlign w:val="center"/>
                </w:tcPr>
                <w:p>
                  <w:pPr>
                    <w:pStyle w:val="179"/>
                    <w:tabs>
                      <w:tab w:val="clear" w:pos="0"/>
                    </w:tabs>
                    <w:spacing w:before="0"/>
                    <w:rPr>
                      <w:rFonts w:ascii="Times New Roman" w:hAnsi="Times New Roman" w:eastAsia="宋体"/>
                      <w:szCs w:val="21"/>
                    </w:rPr>
                  </w:pPr>
                  <w:r>
                    <w:rPr>
                      <w:rFonts w:hint="eastAsia" w:ascii="Times New Roman" w:hAnsi="Times New Roman" w:eastAsia="宋体"/>
                      <w:szCs w:val="21"/>
                    </w:rPr>
                    <w:t>氨氮</w:t>
                  </w:r>
                </w:p>
              </w:tc>
              <w:tc>
                <w:tcPr>
                  <w:tcW w:w="1008" w:type="dxa"/>
                  <w:tcBorders>
                    <w:left w:val="single" w:color="auto" w:sz="4" w:space="0"/>
                  </w:tcBorders>
                  <w:vAlign w:val="center"/>
                </w:tcPr>
                <w:p>
                  <w:pPr>
                    <w:adjustRightInd w:val="0"/>
                    <w:snapToGrid w:val="0"/>
                    <w:spacing w:line="240" w:lineRule="auto"/>
                    <w:jc w:val="center"/>
                    <w:rPr>
                      <w:rFonts w:eastAsia="宋体"/>
                      <w:sz w:val="21"/>
                      <w:szCs w:val="21"/>
                    </w:rPr>
                  </w:pPr>
                  <w:r>
                    <w:rPr>
                      <w:rFonts w:eastAsia="宋体"/>
                      <w:sz w:val="21"/>
                      <w:szCs w:val="21"/>
                    </w:rPr>
                    <w:t>mg/L</w:t>
                  </w:r>
                </w:p>
              </w:tc>
              <w:tc>
                <w:tcPr>
                  <w:tcW w:w="1789" w:type="dxa"/>
                  <w:vAlign w:val="center"/>
                </w:tcPr>
                <w:p>
                  <w:pPr>
                    <w:pStyle w:val="179"/>
                    <w:tabs>
                      <w:tab w:val="clear" w:pos="0"/>
                    </w:tabs>
                    <w:spacing w:before="0"/>
                    <w:rPr>
                      <w:rFonts w:ascii="Times New Roman" w:hAnsi="Times New Roman" w:eastAsia="宋体"/>
                      <w:szCs w:val="21"/>
                    </w:rPr>
                  </w:pPr>
                  <w:r>
                    <w:rPr>
                      <w:rFonts w:hint="eastAsia" w:ascii="Times New Roman" w:hAnsi="Times New Roman" w:eastAsia="宋体"/>
                      <w:szCs w:val="21"/>
                    </w:rPr>
                    <w:t>2（4）</w:t>
                  </w:r>
                  <w:r>
                    <w:rPr>
                      <w:rFonts w:hint="eastAsia" w:ascii="Times New Roman" w:hAnsi="Times New Roman" w:eastAsia="宋体"/>
                      <w:szCs w:val="21"/>
                      <w:vertAlign w:val="superscript"/>
                    </w:rPr>
                    <w:t>1</w:t>
                  </w:r>
                </w:p>
              </w:tc>
              <w:tc>
                <w:tcPr>
                  <w:tcW w:w="2443" w:type="dxa"/>
                  <w:vMerge w:val="continue"/>
                  <w:vAlign w:val="center"/>
                </w:tcPr>
                <w:p>
                  <w:pPr>
                    <w:pStyle w:val="179"/>
                    <w:tabs>
                      <w:tab w:val="clear" w:pos="0"/>
                    </w:tabs>
                    <w:spacing w:before="0"/>
                    <w:rPr>
                      <w:rFonts w:ascii="Times New Roman" w:hAnsi="Times New Roman" w:eastAsia="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Align w:val="center"/>
                </w:tcPr>
                <w:p>
                  <w:pPr>
                    <w:spacing w:line="240" w:lineRule="auto"/>
                    <w:jc w:val="center"/>
                    <w:rPr>
                      <w:rFonts w:eastAsia="宋体"/>
                      <w:sz w:val="21"/>
                      <w:szCs w:val="21"/>
                    </w:rPr>
                  </w:pPr>
                  <w:r>
                    <w:rPr>
                      <w:rFonts w:hint="eastAsia" w:eastAsia="宋体"/>
                      <w:sz w:val="21"/>
                      <w:szCs w:val="21"/>
                    </w:rPr>
                    <w:t>8</w:t>
                  </w:r>
                </w:p>
              </w:tc>
              <w:tc>
                <w:tcPr>
                  <w:tcW w:w="1580" w:type="dxa"/>
                  <w:tcBorders>
                    <w:right w:val="single" w:color="auto" w:sz="4" w:space="0"/>
                  </w:tcBorders>
                  <w:vAlign w:val="center"/>
                </w:tcPr>
                <w:p>
                  <w:pPr>
                    <w:pStyle w:val="179"/>
                    <w:tabs>
                      <w:tab w:val="clear" w:pos="0"/>
                    </w:tabs>
                    <w:spacing w:before="0"/>
                    <w:rPr>
                      <w:rFonts w:ascii="Times New Roman" w:hAnsi="Times New Roman" w:eastAsia="宋体"/>
                      <w:szCs w:val="21"/>
                    </w:rPr>
                  </w:pPr>
                  <w:r>
                    <w:rPr>
                      <w:rFonts w:hint="eastAsia" w:ascii="Times New Roman" w:hAnsi="Times New Roman" w:eastAsia="宋体"/>
                      <w:szCs w:val="21"/>
                    </w:rPr>
                    <w:t>总氮</w:t>
                  </w:r>
                </w:p>
              </w:tc>
              <w:tc>
                <w:tcPr>
                  <w:tcW w:w="1008" w:type="dxa"/>
                  <w:tcBorders>
                    <w:left w:val="single" w:color="auto" w:sz="4" w:space="0"/>
                  </w:tcBorders>
                  <w:vAlign w:val="center"/>
                </w:tcPr>
                <w:p>
                  <w:pPr>
                    <w:adjustRightInd w:val="0"/>
                    <w:snapToGrid w:val="0"/>
                    <w:spacing w:line="240" w:lineRule="auto"/>
                    <w:jc w:val="center"/>
                    <w:rPr>
                      <w:rFonts w:eastAsia="宋体"/>
                      <w:szCs w:val="21"/>
                    </w:rPr>
                  </w:pPr>
                  <w:r>
                    <w:rPr>
                      <w:rFonts w:eastAsia="宋体"/>
                      <w:sz w:val="21"/>
                      <w:szCs w:val="21"/>
                    </w:rPr>
                    <w:t>mg/L</w:t>
                  </w:r>
                </w:p>
              </w:tc>
              <w:tc>
                <w:tcPr>
                  <w:tcW w:w="1789" w:type="dxa"/>
                  <w:vAlign w:val="center"/>
                </w:tcPr>
                <w:p>
                  <w:pPr>
                    <w:pStyle w:val="179"/>
                    <w:tabs>
                      <w:tab w:val="clear" w:pos="0"/>
                    </w:tabs>
                    <w:spacing w:before="0"/>
                    <w:rPr>
                      <w:rFonts w:ascii="Times New Roman" w:hAnsi="Times New Roman" w:eastAsia="宋体"/>
                      <w:szCs w:val="21"/>
                    </w:rPr>
                  </w:pPr>
                  <w:r>
                    <w:rPr>
                      <w:rFonts w:hint="eastAsia" w:ascii="Times New Roman" w:hAnsi="Times New Roman" w:eastAsia="宋体"/>
                      <w:szCs w:val="21"/>
                    </w:rPr>
                    <w:t>12（15）</w:t>
                  </w:r>
                  <w:r>
                    <w:rPr>
                      <w:rFonts w:hint="eastAsia" w:ascii="Times New Roman" w:hAnsi="Times New Roman" w:eastAsia="宋体"/>
                      <w:szCs w:val="21"/>
                      <w:vertAlign w:val="superscript"/>
                    </w:rPr>
                    <w:t>1</w:t>
                  </w:r>
                </w:p>
              </w:tc>
              <w:tc>
                <w:tcPr>
                  <w:tcW w:w="2443" w:type="dxa"/>
                  <w:vMerge w:val="continue"/>
                  <w:vAlign w:val="center"/>
                </w:tcPr>
                <w:p>
                  <w:pPr>
                    <w:pStyle w:val="179"/>
                    <w:tabs>
                      <w:tab w:val="clear" w:pos="0"/>
                    </w:tabs>
                    <w:spacing w:before="0"/>
                    <w:rPr>
                      <w:rFonts w:ascii="Times New Roman" w:hAnsi="Times New Roman" w:eastAsia="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Align w:val="center"/>
                </w:tcPr>
                <w:p>
                  <w:pPr>
                    <w:spacing w:line="240" w:lineRule="auto"/>
                    <w:jc w:val="center"/>
                    <w:rPr>
                      <w:rFonts w:eastAsia="宋体"/>
                      <w:sz w:val="21"/>
                      <w:szCs w:val="21"/>
                    </w:rPr>
                  </w:pPr>
                  <w:r>
                    <w:rPr>
                      <w:rFonts w:hint="eastAsia" w:eastAsia="宋体"/>
                      <w:sz w:val="21"/>
                      <w:szCs w:val="21"/>
                    </w:rPr>
                    <w:t>9</w:t>
                  </w:r>
                </w:p>
              </w:tc>
              <w:tc>
                <w:tcPr>
                  <w:tcW w:w="1580" w:type="dxa"/>
                  <w:tcBorders>
                    <w:right w:val="single" w:color="auto" w:sz="4" w:space="0"/>
                  </w:tcBorders>
                  <w:vAlign w:val="center"/>
                </w:tcPr>
                <w:p>
                  <w:pPr>
                    <w:pStyle w:val="179"/>
                    <w:tabs>
                      <w:tab w:val="clear" w:pos="0"/>
                    </w:tabs>
                    <w:spacing w:before="0"/>
                    <w:rPr>
                      <w:rFonts w:ascii="Times New Roman" w:hAnsi="Times New Roman" w:eastAsia="宋体"/>
                      <w:szCs w:val="21"/>
                    </w:rPr>
                  </w:pPr>
                  <w:r>
                    <w:rPr>
                      <w:rFonts w:hint="eastAsia" w:ascii="Times New Roman" w:hAnsi="Times New Roman" w:eastAsia="宋体"/>
                      <w:szCs w:val="21"/>
                    </w:rPr>
                    <w:t>总磷</w:t>
                  </w:r>
                </w:p>
              </w:tc>
              <w:tc>
                <w:tcPr>
                  <w:tcW w:w="1008" w:type="dxa"/>
                  <w:tcBorders>
                    <w:left w:val="single" w:color="auto" w:sz="4" w:space="0"/>
                  </w:tcBorders>
                  <w:vAlign w:val="center"/>
                </w:tcPr>
                <w:p>
                  <w:pPr>
                    <w:adjustRightInd w:val="0"/>
                    <w:snapToGrid w:val="0"/>
                    <w:spacing w:line="240" w:lineRule="auto"/>
                    <w:jc w:val="center"/>
                    <w:rPr>
                      <w:rFonts w:eastAsia="宋体"/>
                      <w:szCs w:val="21"/>
                    </w:rPr>
                  </w:pPr>
                  <w:r>
                    <w:rPr>
                      <w:rFonts w:eastAsia="宋体"/>
                      <w:sz w:val="21"/>
                      <w:szCs w:val="21"/>
                    </w:rPr>
                    <w:t>mg/L</w:t>
                  </w:r>
                </w:p>
              </w:tc>
              <w:tc>
                <w:tcPr>
                  <w:tcW w:w="1789" w:type="dxa"/>
                  <w:vAlign w:val="center"/>
                </w:tcPr>
                <w:p>
                  <w:pPr>
                    <w:pStyle w:val="179"/>
                    <w:tabs>
                      <w:tab w:val="clear" w:pos="0"/>
                    </w:tabs>
                    <w:spacing w:before="0"/>
                    <w:rPr>
                      <w:rFonts w:ascii="Times New Roman" w:hAnsi="Times New Roman" w:eastAsia="宋体"/>
                      <w:szCs w:val="21"/>
                    </w:rPr>
                  </w:pPr>
                  <w:r>
                    <w:rPr>
                      <w:rFonts w:hint="eastAsia" w:ascii="Times New Roman" w:hAnsi="Times New Roman" w:eastAsia="宋体"/>
                      <w:szCs w:val="21"/>
                    </w:rPr>
                    <w:t>0.3</w:t>
                  </w:r>
                </w:p>
              </w:tc>
              <w:tc>
                <w:tcPr>
                  <w:tcW w:w="2443" w:type="dxa"/>
                  <w:vMerge w:val="continue"/>
                  <w:vAlign w:val="center"/>
                </w:tcPr>
                <w:p>
                  <w:pPr>
                    <w:pStyle w:val="179"/>
                    <w:tabs>
                      <w:tab w:val="clear" w:pos="0"/>
                    </w:tabs>
                    <w:spacing w:before="0"/>
                    <w:rPr>
                      <w:rFonts w:ascii="Times New Roman" w:hAnsi="Times New Roman" w:eastAsia="宋体"/>
                      <w:szCs w:val="21"/>
                    </w:rPr>
                  </w:pPr>
                </w:p>
              </w:tc>
            </w:tr>
          </w:tbl>
          <w:p>
            <w:pPr>
              <w:pStyle w:val="16"/>
              <w:ind w:firstLine="480" w:firstLineChars="200"/>
              <w:jc w:val="left"/>
              <w:rPr>
                <w:rFonts w:ascii="Times New Roman" w:hAnsi="Times New Roman" w:eastAsia="宋体" w:cs="Times New Roman"/>
              </w:rPr>
            </w:pPr>
            <w:r>
              <w:rPr>
                <w:rFonts w:hint="eastAsia" w:ascii="Times New Roman" w:hAnsi="Times New Roman" w:eastAsia="宋体" w:cs="Times New Roman"/>
              </w:rPr>
              <w:t>3）噪声</w:t>
            </w:r>
          </w:p>
          <w:p>
            <w:pPr>
              <w:pStyle w:val="12"/>
              <w:ind w:firstLine="480" w:firstLineChars="200"/>
              <w:jc w:val="both"/>
              <w:rPr>
                <w:rFonts w:eastAsia="宋体"/>
                <w:bCs/>
              </w:rPr>
            </w:pPr>
            <w:r>
              <w:rPr>
                <w:rFonts w:hint="eastAsia" w:eastAsia="宋体"/>
                <w:bCs/>
              </w:rPr>
              <w:t>根据《杭州市临平区声环境功能区划分方案（2021-2025）》，</w:t>
            </w:r>
            <w:r>
              <w:rPr>
                <w:rFonts w:eastAsia="宋体"/>
                <w:bCs/>
              </w:rPr>
              <w:t>本项目</w:t>
            </w:r>
            <w:r>
              <w:rPr>
                <w:rFonts w:hint="eastAsia" w:eastAsia="宋体"/>
                <w:bCs/>
              </w:rPr>
              <w:t>校园边界</w:t>
            </w:r>
            <w:r>
              <w:rPr>
                <w:rFonts w:eastAsia="宋体"/>
                <w:bCs/>
              </w:rPr>
              <w:t>噪声执行《工业企业厂界环境噪声排放标准》</w:t>
            </w:r>
            <w:r>
              <w:rPr>
                <w:rFonts w:hint="eastAsia" w:eastAsia="宋体"/>
                <w:bCs/>
              </w:rPr>
              <w:t>（</w:t>
            </w:r>
            <w:r>
              <w:rPr>
                <w:rFonts w:eastAsia="宋体"/>
                <w:bCs/>
              </w:rPr>
              <w:t>GB12348-2008</w:t>
            </w:r>
            <w:r>
              <w:rPr>
                <w:rFonts w:hint="eastAsia" w:eastAsia="宋体"/>
                <w:bCs/>
              </w:rPr>
              <w:t>）</w:t>
            </w:r>
            <w:r>
              <w:rPr>
                <w:rFonts w:eastAsia="宋体"/>
                <w:bCs/>
              </w:rPr>
              <w:t>中</w:t>
            </w:r>
            <w:r>
              <w:rPr>
                <w:rFonts w:hint="eastAsia" w:eastAsia="宋体"/>
                <w:bCs/>
              </w:rPr>
              <w:t>2</w:t>
            </w:r>
            <w:r>
              <w:rPr>
                <w:rFonts w:eastAsia="宋体"/>
                <w:bCs/>
              </w:rPr>
              <w:t>类标准</w:t>
            </w:r>
            <w:r>
              <w:rPr>
                <w:rFonts w:hint="eastAsia" w:eastAsia="宋体"/>
                <w:bCs/>
              </w:rPr>
              <w:t>。</w:t>
            </w:r>
            <w:r>
              <w:rPr>
                <w:rFonts w:eastAsia="宋体"/>
                <w:bCs/>
              </w:rPr>
              <w:t>见表</w:t>
            </w:r>
            <w:r>
              <w:rPr>
                <w:rFonts w:hint="eastAsia" w:eastAsia="宋体"/>
                <w:bCs/>
              </w:rPr>
              <w:t>3-13</w:t>
            </w:r>
            <w:r>
              <w:rPr>
                <w:rFonts w:eastAsia="宋体"/>
                <w:bCs/>
              </w:rPr>
              <w:t>。</w:t>
            </w:r>
          </w:p>
          <w:p>
            <w:pPr>
              <w:spacing w:before="156" w:beforeLines="50" w:line="240" w:lineRule="auto"/>
              <w:jc w:val="center"/>
              <w:rPr>
                <w:rFonts w:eastAsia="宋体"/>
                <w:bCs/>
                <w:sz w:val="21"/>
                <w:szCs w:val="21"/>
              </w:rPr>
            </w:pPr>
            <w:r>
              <w:rPr>
                <w:rFonts w:eastAsia="宋体"/>
                <w:b/>
                <w:bCs/>
                <w:sz w:val="21"/>
                <w:szCs w:val="21"/>
              </w:rPr>
              <w:t>表3-1</w:t>
            </w:r>
            <w:r>
              <w:rPr>
                <w:rFonts w:hint="eastAsia" w:eastAsia="宋体"/>
                <w:b/>
                <w:bCs/>
                <w:sz w:val="21"/>
                <w:szCs w:val="21"/>
              </w:rPr>
              <w:t>3学校边界</w:t>
            </w:r>
            <w:r>
              <w:rPr>
                <w:rFonts w:eastAsia="宋体"/>
                <w:b/>
                <w:bCs/>
                <w:sz w:val="21"/>
                <w:szCs w:val="21"/>
              </w:rPr>
              <w:t>环境噪声排放标准</w:t>
            </w:r>
            <w:r>
              <w:rPr>
                <w:rFonts w:hint="eastAsia" w:eastAsia="宋体"/>
                <w:b/>
                <w:bCs/>
                <w:sz w:val="21"/>
                <w:szCs w:val="21"/>
              </w:rPr>
              <w:t xml:space="preserve"> </w:t>
            </w:r>
            <w:r>
              <w:rPr>
                <w:rFonts w:eastAsia="宋体"/>
                <w:b/>
                <w:bCs/>
                <w:sz w:val="21"/>
                <w:szCs w:val="21"/>
              </w:rPr>
              <w:t>单位：dB（A）</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9"/>
              <w:gridCol w:w="2529"/>
              <w:gridCol w:w="2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9" w:type="dxa"/>
                  <w:vAlign w:val="center"/>
                </w:tcPr>
                <w:p>
                  <w:pPr>
                    <w:spacing w:line="240" w:lineRule="auto"/>
                    <w:jc w:val="center"/>
                    <w:rPr>
                      <w:rFonts w:eastAsia="宋体"/>
                      <w:bCs/>
                      <w:sz w:val="21"/>
                      <w:szCs w:val="21"/>
                    </w:rPr>
                  </w:pPr>
                  <w:r>
                    <w:rPr>
                      <w:rFonts w:eastAsia="宋体"/>
                      <w:sz w:val="21"/>
                      <w:szCs w:val="21"/>
                    </w:rPr>
                    <w:t>标准级别</w:t>
                  </w:r>
                </w:p>
              </w:tc>
              <w:tc>
                <w:tcPr>
                  <w:tcW w:w="2529" w:type="dxa"/>
                  <w:vAlign w:val="center"/>
                </w:tcPr>
                <w:p>
                  <w:pPr>
                    <w:spacing w:line="240" w:lineRule="auto"/>
                    <w:jc w:val="center"/>
                    <w:rPr>
                      <w:rFonts w:eastAsia="宋体"/>
                      <w:bCs/>
                      <w:sz w:val="21"/>
                      <w:szCs w:val="21"/>
                    </w:rPr>
                  </w:pPr>
                  <w:r>
                    <w:rPr>
                      <w:rFonts w:eastAsia="宋体"/>
                      <w:bCs/>
                      <w:sz w:val="21"/>
                      <w:szCs w:val="21"/>
                    </w:rPr>
                    <w:t>昼间</w:t>
                  </w:r>
                </w:p>
              </w:tc>
              <w:tc>
                <w:tcPr>
                  <w:tcW w:w="2530" w:type="dxa"/>
                  <w:vAlign w:val="center"/>
                </w:tcPr>
                <w:p>
                  <w:pPr>
                    <w:spacing w:line="240" w:lineRule="auto"/>
                    <w:jc w:val="center"/>
                    <w:rPr>
                      <w:rFonts w:eastAsia="宋体"/>
                      <w:bCs/>
                      <w:sz w:val="21"/>
                      <w:szCs w:val="21"/>
                    </w:rPr>
                  </w:pPr>
                  <w:r>
                    <w:rPr>
                      <w:rFonts w:eastAsia="宋体"/>
                      <w:bCs/>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9" w:type="dxa"/>
                  <w:vAlign w:val="center"/>
                </w:tcPr>
                <w:p>
                  <w:pPr>
                    <w:snapToGrid w:val="0"/>
                    <w:spacing w:line="240" w:lineRule="auto"/>
                    <w:jc w:val="center"/>
                    <w:rPr>
                      <w:rFonts w:eastAsia="宋体"/>
                      <w:sz w:val="21"/>
                      <w:szCs w:val="21"/>
                    </w:rPr>
                  </w:pPr>
                  <w:r>
                    <w:rPr>
                      <w:rFonts w:hint="eastAsia" w:eastAsia="宋体"/>
                      <w:sz w:val="21"/>
                      <w:szCs w:val="21"/>
                    </w:rPr>
                    <w:t>2</w:t>
                  </w:r>
                  <w:r>
                    <w:rPr>
                      <w:rFonts w:eastAsia="宋体"/>
                      <w:sz w:val="21"/>
                      <w:szCs w:val="21"/>
                    </w:rPr>
                    <w:t>类</w:t>
                  </w:r>
                </w:p>
              </w:tc>
              <w:tc>
                <w:tcPr>
                  <w:tcW w:w="2529" w:type="dxa"/>
                  <w:vAlign w:val="center"/>
                </w:tcPr>
                <w:p>
                  <w:pPr>
                    <w:snapToGrid w:val="0"/>
                    <w:spacing w:line="240" w:lineRule="auto"/>
                    <w:jc w:val="center"/>
                    <w:rPr>
                      <w:rFonts w:eastAsia="宋体"/>
                      <w:sz w:val="21"/>
                      <w:szCs w:val="21"/>
                    </w:rPr>
                  </w:pPr>
                  <w:r>
                    <w:rPr>
                      <w:rFonts w:hint="eastAsia" w:eastAsia="宋体"/>
                      <w:sz w:val="21"/>
                      <w:szCs w:val="21"/>
                    </w:rPr>
                    <w:t>60</w:t>
                  </w:r>
                </w:p>
              </w:tc>
              <w:tc>
                <w:tcPr>
                  <w:tcW w:w="2530" w:type="dxa"/>
                  <w:vAlign w:val="center"/>
                </w:tcPr>
                <w:p>
                  <w:pPr>
                    <w:snapToGrid w:val="0"/>
                    <w:spacing w:line="240" w:lineRule="auto"/>
                    <w:jc w:val="center"/>
                    <w:rPr>
                      <w:rFonts w:eastAsia="宋体"/>
                      <w:sz w:val="21"/>
                      <w:szCs w:val="21"/>
                    </w:rPr>
                  </w:pPr>
                  <w:r>
                    <w:rPr>
                      <w:rFonts w:hint="eastAsia" w:eastAsia="宋体"/>
                      <w:sz w:val="21"/>
                      <w:szCs w:val="21"/>
                    </w:rPr>
                    <w:t>50</w:t>
                  </w:r>
                </w:p>
              </w:tc>
            </w:tr>
          </w:tbl>
          <w:p>
            <w:pPr>
              <w:pStyle w:val="16"/>
              <w:ind w:firstLine="480" w:firstLineChars="200"/>
              <w:jc w:val="left"/>
              <w:rPr>
                <w:rFonts w:ascii="Times New Roman" w:hAnsi="Times New Roman" w:eastAsia="宋体" w:cs="Times New Roman"/>
              </w:rPr>
            </w:pPr>
            <w:r>
              <w:rPr>
                <w:rFonts w:hint="eastAsia" w:ascii="Times New Roman" w:hAnsi="Times New Roman" w:eastAsia="宋体" w:cs="Times New Roman"/>
              </w:rPr>
              <w:t>4）固废</w:t>
            </w:r>
          </w:p>
          <w:p>
            <w:pPr>
              <w:pStyle w:val="16"/>
              <w:ind w:firstLine="480" w:firstLineChars="200"/>
              <w:rPr>
                <w:rFonts w:ascii="Times New Roman" w:hAnsi="Times New Roman" w:eastAsia="宋体" w:cs="Times New Roman"/>
              </w:rPr>
            </w:pPr>
            <w:r>
              <w:rPr>
                <w:rFonts w:ascii="Times New Roman" w:hAnsi="Times New Roman" w:eastAsia="宋体" w:cs="Times New Roman"/>
              </w:rPr>
              <w:t>本项目一般工业固体废物采用库房、包装工具（罐、桶、包装袋等）贮存，按照《中华人民共和国固体废物污染环境防治法》的工业固体废物管理条款要求执行，一般工业固废库房应满足防渗漏、防雨淋、防扬尘等环境保护要求，不得形成二次污染。一般工业废物贮存参照执行《一般工业固体废物贮存和填埋污染控制标准》（GB18599-2020）中的相关规定。危险废物的暂存要求参照执行《危险废物贮存污染控制标准》</w:t>
            </w:r>
            <w:r>
              <w:rPr>
                <w:rFonts w:hint="eastAsia" w:ascii="Times New Roman" w:hAnsi="Times New Roman" w:eastAsia="宋体" w:cs="Times New Roman"/>
              </w:rPr>
              <w:t>（</w:t>
            </w:r>
            <w:r>
              <w:rPr>
                <w:rFonts w:ascii="Times New Roman" w:hAnsi="Times New Roman" w:eastAsia="宋体" w:cs="Times New Roman"/>
              </w:rPr>
              <w:t>GB18597-2023</w:t>
            </w:r>
            <w:r>
              <w:rPr>
                <w:rFonts w:hint="eastAsia" w:ascii="Times New Roman" w:hAnsi="Times New Roman" w:eastAsia="宋体" w:cs="Times New Roman"/>
              </w:rPr>
              <w:t>）</w:t>
            </w:r>
            <w:r>
              <w:rPr>
                <w:rFonts w:ascii="Times New Roman" w:hAnsi="Times New Roman" w:eastAsia="宋体" w:cs="Times New Roman"/>
              </w:rPr>
              <w:t>，并符合《浙江省危险废物产生和经营单位“双达标”创建工作方案》</w:t>
            </w:r>
            <w:r>
              <w:rPr>
                <w:rFonts w:hint="eastAsia" w:ascii="Times New Roman" w:hAnsi="Times New Roman" w:eastAsia="宋体" w:cs="Times New Roman"/>
              </w:rPr>
              <w:t>（</w:t>
            </w:r>
            <w:r>
              <w:rPr>
                <w:rFonts w:ascii="Times New Roman" w:hAnsi="Times New Roman" w:eastAsia="宋体" w:cs="Times New Roman"/>
              </w:rPr>
              <w:t>浙环发[2012]19号</w:t>
            </w:r>
            <w:r>
              <w:rPr>
                <w:rFonts w:hint="eastAsia" w:ascii="Times New Roman" w:hAnsi="Times New Roman" w:eastAsia="宋体" w:cs="Times New Roman"/>
              </w:rPr>
              <w:t>）</w:t>
            </w:r>
            <w:r>
              <w:rPr>
                <w:rFonts w:ascii="Times New Roman" w:hAnsi="Times New Roman" w:eastAsia="宋体" w:cs="Times New Roma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16"/>
              <w:spacing w:line="240" w:lineRule="auto"/>
              <w:jc w:val="center"/>
              <w:rPr>
                <w:rFonts w:ascii="Times New Roman" w:hAnsi="Times New Roman" w:eastAsia="宋体" w:cs="Times New Roman"/>
              </w:rPr>
            </w:pPr>
            <w:r>
              <w:rPr>
                <w:rFonts w:hint="eastAsia" w:ascii="Times New Roman" w:hAnsi="Times New Roman" w:eastAsia="宋体" w:cs="Times New Roman"/>
              </w:rPr>
              <w:t>总量控制指标</w:t>
            </w:r>
          </w:p>
        </w:tc>
        <w:tc>
          <w:tcPr>
            <w:tcW w:w="7734" w:type="dxa"/>
          </w:tcPr>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本项目属于服务类行业，非工业类项目，无生产型废水排放，故本项目总量指标无需调剂，无需进行排污权有偿使用和交易。</w:t>
            </w:r>
          </w:p>
          <w:p>
            <w:pPr>
              <w:pStyle w:val="16"/>
              <w:ind w:firstLine="480" w:firstLineChars="200"/>
              <w:rPr>
                <w:rFonts w:ascii="Times New Roman" w:hAnsi="Times New Roman" w:eastAsia="宋体" w:cs="Times New Roman"/>
              </w:rPr>
            </w:pPr>
          </w:p>
          <w:p>
            <w:pPr>
              <w:pStyle w:val="16"/>
              <w:ind w:firstLine="480" w:firstLineChars="200"/>
              <w:rPr>
                <w:rFonts w:ascii="Times New Roman" w:hAnsi="Times New Roman" w:eastAsia="宋体" w:cs="Times New Roman"/>
              </w:rPr>
            </w:pPr>
          </w:p>
        </w:tc>
      </w:tr>
    </w:tbl>
    <w:p>
      <w:pPr>
        <w:pStyle w:val="16"/>
        <w:jc w:val="left"/>
        <w:rPr>
          <w:rFonts w:ascii="Times New Roman" w:hAnsi="Times New Roman" w:eastAsia="宋体" w:cs="Times New Roman"/>
        </w:rPr>
        <w:sectPr>
          <w:pgSz w:w="11906" w:h="16838"/>
          <w:pgMar w:top="1440" w:right="1800" w:bottom="1440" w:left="1800" w:header="851" w:footer="992" w:gutter="0"/>
          <w:pgNumType w:fmt="decimal"/>
          <w:cols w:space="425" w:num="1"/>
          <w:docGrid w:type="lines" w:linePitch="312" w:charSpace="0"/>
        </w:sectPr>
      </w:pPr>
    </w:p>
    <w:p>
      <w:pPr>
        <w:pStyle w:val="16"/>
        <w:numPr>
          <w:ilvl w:val="0"/>
          <w:numId w:val="5"/>
        </w:numPr>
        <w:ind w:left="482" w:hanging="482"/>
        <w:jc w:val="center"/>
        <w:outlineLvl w:val="0"/>
        <w:rPr>
          <w:rFonts w:ascii="Times New Roman" w:hAnsi="Times New Roman" w:eastAsia="宋体" w:cs="Times New Roman"/>
          <w:b/>
          <w:bCs/>
        </w:rPr>
      </w:pPr>
      <w:bookmarkStart w:id="5" w:name="_Toc140406080"/>
      <w:r>
        <w:rPr>
          <w:rFonts w:hint="eastAsia" w:ascii="Times New Roman" w:hAnsi="Times New Roman" w:eastAsia="宋体" w:cs="Times New Roman"/>
          <w:b/>
          <w:bCs/>
        </w:rPr>
        <w:t>主要环境影响和保护措施</w:t>
      </w:r>
      <w:bookmarkEnd w:id="5"/>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7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pPr>
              <w:pStyle w:val="16"/>
              <w:spacing w:line="240" w:lineRule="auto"/>
              <w:jc w:val="center"/>
              <w:rPr>
                <w:rFonts w:ascii="Times New Roman" w:hAnsi="Times New Roman" w:eastAsia="宋体" w:cs="Times New Roman"/>
              </w:rPr>
            </w:pPr>
            <w:r>
              <w:rPr>
                <w:rFonts w:hint="eastAsia" w:ascii="Times New Roman" w:hAnsi="Times New Roman" w:eastAsia="宋体" w:cs="Times New Roman"/>
              </w:rPr>
              <w:t>施工期环境保护措施</w:t>
            </w:r>
          </w:p>
        </w:tc>
        <w:tc>
          <w:tcPr>
            <w:tcW w:w="7875" w:type="dxa"/>
          </w:tcPr>
          <w:p>
            <w:pPr>
              <w:pStyle w:val="16"/>
              <w:jc w:val="left"/>
              <w:rPr>
                <w:rFonts w:ascii="Times New Roman" w:hAnsi="Times New Roman" w:eastAsia="宋体" w:cs="Times New Roman"/>
                <w:b/>
                <w:bCs/>
              </w:rPr>
            </w:pPr>
            <w:r>
              <w:rPr>
                <w:rFonts w:hint="eastAsia" w:ascii="Times New Roman" w:hAnsi="Times New Roman" w:eastAsia="宋体" w:cs="Times New Roman"/>
                <w:b/>
                <w:bCs/>
              </w:rPr>
              <w:t>1、施工废气污染防治措施</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（1）扬尘污染防治措施</w:t>
            </w:r>
          </w:p>
          <w:p>
            <w:pPr>
              <w:pStyle w:val="12"/>
              <w:ind w:firstLine="480" w:firstLineChars="200"/>
              <w:rPr>
                <w:rFonts w:eastAsia="宋体"/>
              </w:rPr>
            </w:pPr>
            <w:r>
              <w:rPr>
                <w:rFonts w:hint="eastAsia" w:eastAsia="宋体"/>
              </w:rPr>
              <w:t>为减轻施工扬尘对周边敏感保护目标的影响，施工单位应该严格执行《杭州市城市扬尘污染防治管理办法》，做到“七个百分百”，施工工地周围应当设置彩钢板围护和喷雾装置，施工过程中分片区、分阶段施工，防止集中施工引起的扬尘爆发问题，开挖出的土方应及时清运；土方机械开挖和回填施工区域周边应合理布置喷雾装置，喷雾装置的喷射角度应以有效抑尘为原则，根据现场施工情况灵活调整；施工中的物料堆场应当采取遮盖、洒水、喷洒覆盖剂或其他防尘措施;必须配备洒水车，对运输车辆行驶路线定期洒水抑尘，保持路面湿润，进出口设置降尘喷雾设备，抑制道路扬尘污染；在土方运输车辆行进路线沿线及施工现场进出口位置设置相应的车辆冲洗设施和排水、泥浆沉淀设施，运输车辆应当冲洗干净后出场，</w:t>
            </w:r>
            <w:r>
              <w:rPr>
                <w:rFonts w:hint="eastAsia" w:ascii="宋体" w:hAnsi="宋体" w:eastAsia="宋体" w:cs="宋体"/>
              </w:rPr>
              <w:t>土方运输车辆加盖篷布，防止土渣跌落产生扬尘</w:t>
            </w:r>
            <w:r>
              <w:rPr>
                <w:rFonts w:hint="eastAsia" w:eastAsia="宋体"/>
              </w:rPr>
              <w:t>；土石方运输必须严格限制超载，作好防泄漏处理，避免沙土沿途泄漏，造成二次污染。</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在此前提下，工程施工扬尘对周边环境影响不大。施工期对附近敏感点不会产生污染影响。</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（2）施工机械及车辆尾气</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施工车辆以及施工机械分布较散，大部分为流动性，产生情况表现为局部和间歇性，其排放量也较小，加强汽车维护，保证汽车正常、安全运行;加强对施工机械的科学管理，合理安排运行时间，发挥其最大效率；施工期间，施工单位应加强与周边学校和居民的沟通，合理安排施工车辆的进出时间和施工机械的施工时间，防止产生纠纷。</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（3）油漆废气污染防治措施</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施工装修时严格按照国家规定的室内装修材料类型合理进行材料的选用和施工，不得使用污染严重的装修材料，应尽可能选用环保型绿色油漆，同时尽量使用不含甲醛的粘合剂，以减少甲醛、苯等有机废气的污染。</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（4）沥青烟气污染影响措施</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当建设工地靠近环境保护目标时，沥青的铺浇应避开风向针对居住区等环境空气保护目标的时段，同时选择合理施工的时间，如居民外出上班、家中人较少的时段施工，以免对人群健康产生影响。</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随着施工竣工，施工沥青烟气影响将不再存在，施工沥青烟气对环境的不利影响是暂时的，短期的。</w:t>
            </w:r>
          </w:p>
          <w:p>
            <w:pPr>
              <w:pStyle w:val="16"/>
              <w:jc w:val="left"/>
              <w:rPr>
                <w:rFonts w:ascii="Times New Roman" w:hAnsi="Times New Roman" w:eastAsia="宋体" w:cs="Times New Roman"/>
                <w:b/>
                <w:bCs/>
              </w:rPr>
            </w:pPr>
            <w:r>
              <w:rPr>
                <w:rFonts w:hint="eastAsia" w:ascii="Times New Roman" w:hAnsi="Times New Roman" w:eastAsia="宋体" w:cs="Times New Roman"/>
                <w:b/>
                <w:bCs/>
              </w:rPr>
              <w:t>2、施工废水污染防治措施</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（1）施工废水污染防治措施</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施工场地四周设临时排水沟对施工场地废水、雨季泥浆废水进行收集，以形成相对封闭的排水系统，禁止裸露面面流排水，废水收集后经隔油池、沉淀池等配套设施进行处理后上清液可回用于工程用水，底部污泥作为固废外运处置。</w:t>
            </w:r>
          </w:p>
          <w:p>
            <w:pPr>
              <w:ind w:firstLine="480" w:firstLineChars="200"/>
              <w:rPr>
                <w:rFonts w:eastAsia="宋体"/>
              </w:rPr>
            </w:pPr>
            <w:r>
              <w:rPr>
                <w:rFonts w:hint="eastAsia" w:eastAsia="宋体"/>
              </w:rPr>
              <w:t>施工车辆冲洗应设专用的场地，采用水泥硬化路面，周边设集水沟，收集的冲洗废水预先经隔油、沉淀处理后排入集水池回用于工程或用于洒水抑尘，不排放。</w:t>
            </w:r>
          </w:p>
          <w:p>
            <w:pPr>
              <w:ind w:firstLine="480" w:firstLineChars="200"/>
              <w:rPr>
                <w:rFonts w:eastAsia="宋体"/>
              </w:rPr>
            </w:pPr>
            <w:r>
              <w:rPr>
                <w:rFonts w:hint="eastAsia" w:eastAsia="宋体"/>
              </w:rPr>
              <w:t>施工机械严格检查，防止油料泄漏进入水体。尽量减少物料流失、散落等现象，建筑垃圾、生活垃圾按指定地点堆放并及时清运，避免因暴雨径流而被冲入水体，切实做好工程水土保持工作。</w:t>
            </w:r>
          </w:p>
          <w:p>
            <w:pPr>
              <w:ind w:firstLine="480" w:firstLineChars="200"/>
              <w:rPr>
                <w:rFonts w:eastAsia="宋体"/>
              </w:rPr>
            </w:pPr>
            <w:r>
              <w:rPr>
                <w:rFonts w:hint="eastAsia" w:eastAsia="宋体"/>
              </w:rPr>
              <w:t>加强对施工人员的管理，使施工人员集中居住，项目施工生活区应配套设置临时厕所，生活污水经化粪池预处理后，纳管排放至污水处理厂处理。</w:t>
            </w:r>
          </w:p>
          <w:p>
            <w:pPr>
              <w:ind w:firstLine="480" w:firstLineChars="200"/>
              <w:rPr>
                <w:rFonts w:eastAsia="宋体"/>
              </w:rPr>
            </w:pPr>
            <w:r>
              <w:rPr>
                <w:rFonts w:hint="eastAsia" w:eastAsia="宋体"/>
              </w:rPr>
              <w:t>做好建筑材料和建筑垃圾的管理，防止成为地面水的二次污染源，禁止施工场地废水、生活污水、泥浆水排入项目附近地表内河，影响其水体水质。</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（2）基坑废水污染防治措施</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①基坑开挖至基底30～50cm时，可根据天气情况来安排下一步工序，在天气晴朗时，将预留部分挖去，随及进行基坑检验，检验合格后马上进行基础的施工。</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②雨季施工时，为了防止雨水流进基坑，应在基坑四周0.5～1.0ｍ外的地方挖排水沟或打土垄。</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③地下水位较高时，应当采用井点降水或在基坑四周开挖排水沟和集水井，随时排水以降低地下水位，排水沟和集水井的深度应比基坑深0.5m，并有坡度，集水井应比排水沟最低处深1.0-1.5m，具体尺寸视降水范围决定。</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④要备足排水设备，随挖随排水，以坑内不积水为准。</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⑤在靠近河沟、水渠的地方开挖基础基坑时，应在基坑外（靠近河沟、水渠的地方）挖一条截水沟，截断流入基坑的水源，截水沟外侧距基坑的距离应大于3m。</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⑥接近基底标高20cm时停止开挖，待地下水位降至基底标高50cm以下时，方可进行清底工作。</w:t>
            </w:r>
          </w:p>
          <w:p>
            <w:pPr>
              <w:pStyle w:val="16"/>
              <w:ind w:firstLine="480" w:firstLineChars="200"/>
              <w:rPr>
                <w:rFonts w:ascii="Times New Roman" w:hAnsi="Times New Roman" w:eastAsia="宋体" w:cs="Times New Roman"/>
              </w:rPr>
            </w:pPr>
            <w:r>
              <w:rPr>
                <w:rFonts w:hint="eastAsia" w:ascii="宋体" w:hAnsi="宋体" w:eastAsia="宋体" w:cs="Times New Roman"/>
              </w:rPr>
              <w:t>⑦施工期基坑废水抽至坑外排水沟，经隔油、沉淀等预处理后上清液回用于工程抑尘、车辆冲洗等。</w:t>
            </w:r>
          </w:p>
          <w:p>
            <w:pPr>
              <w:pStyle w:val="16"/>
              <w:jc w:val="left"/>
              <w:rPr>
                <w:rFonts w:ascii="Times New Roman" w:hAnsi="Times New Roman" w:eastAsia="宋体" w:cs="Times New Roman"/>
                <w:b/>
                <w:bCs/>
              </w:rPr>
            </w:pPr>
            <w:r>
              <w:rPr>
                <w:rFonts w:hint="eastAsia" w:ascii="Times New Roman" w:hAnsi="Times New Roman" w:eastAsia="宋体" w:cs="Times New Roman"/>
                <w:b/>
                <w:bCs/>
              </w:rPr>
              <w:t>3、施工噪声污染防治措施</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为了减少施工期噪声对周围环境的影响，建设、施工单位必须遵照《中华人民共和国噪声污染防治法》（中华人民共和国主席令第一0四号）等文件的相关措施执行：</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（1）施工单位要加强管理，文明施工，严格控制高噪声机械的施工时间，把噪声大的作业尽量安排在白天，使施工场界噪声满足《建筑施工场界噪声排放标准》（GB12523-2011）的要求，夜间（22</w:t>
            </w:r>
            <w:r>
              <w:rPr>
                <w:rFonts w:hint="eastAsia" w:ascii="Times New Roman" w:hAnsi="Times New Roman" w:eastAsia="宋体" w:cs="Times New Roman"/>
                <w:lang w:eastAsia="zh-CN"/>
              </w:rPr>
              <w:t>：</w:t>
            </w:r>
            <w:r>
              <w:rPr>
                <w:rFonts w:hint="eastAsia" w:ascii="Times New Roman" w:hAnsi="Times New Roman" w:eastAsia="宋体" w:cs="Times New Roman"/>
              </w:rPr>
              <w:t>00~次日6</w:t>
            </w:r>
            <w:r>
              <w:rPr>
                <w:rFonts w:hint="eastAsia" w:ascii="Times New Roman" w:hAnsi="Times New Roman" w:eastAsia="宋体" w:cs="Times New Roman"/>
                <w:lang w:eastAsia="zh-CN"/>
              </w:rPr>
              <w:t>：</w:t>
            </w:r>
            <w:r>
              <w:rPr>
                <w:rFonts w:hint="eastAsia" w:ascii="Times New Roman" w:hAnsi="Times New Roman" w:eastAsia="宋体" w:cs="Times New Roman"/>
              </w:rPr>
              <w:t>00）尤其是靠近东侧居民的施工现场，禁止产生高噪声的建筑施工作业，夜间因特殊需要必须连续施工作业的，施工单位应当取得所在地行业主管部门会同环境保护主管部门共同出具的证明。证明应当载明证明单位、夜间施工的时限以及投诉举报方式等内容，并在施工现场周边醒目位置提前公示。</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2）施工单位应当按照规定制定噪声污染防治实施方案，采取有效措施，减少振动、降低噪声。应当优先选用低噪声施工工艺和设备，施工单位必须选用符合国家有关标准的施工机械和运输车辆，并事先对其进行常规工作状态下的噪声测量，对振动较大的固定机械设备应加装减振基座；同时在施工过程中施工现场工作人员应严格按照操作规范使用各类施工机械。</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（3）加强对施工现场噪声污染源的管理，金属材料在装卸时，要求轻抬、轻放，避免野蛮操作，产生人为的噪声污染。</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（4）加强施工机械的维修保养，保证施工机械处于低噪声、高效率的良好工作状态，避免由于设备性能差而使噪声污染加重现象的发生；合理选择施工机械的停放场地，远离东侧幼儿园和联胜新村设置。</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（5）施工现场应沿工地四周连续设置围挡，能够减轻噪声对周围环境的影响。</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（6）电锯等高噪声设备应设置在远离东侧幼儿园和联胜新村的位置，并在设有隔音功能的临时房、施工棚内操作，实行封闭、半封闭施工，以减少噪声影响。</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7）施工车辆出入口应尽量远离远离东侧幼儿园和联胜新村设置，利用周边道路用于施工材料的运输路线时，施工运输车辆应合理安排作业时间，避开幼儿园上下学和居民上下班高峰期，防止对周边原有交通造成干扰，并采取减速缓行、禁止鸣笛等措施。</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8</w:t>
            </w:r>
            <w:r>
              <w:rPr>
                <w:rFonts w:hint="eastAsia" w:ascii="Times New Roman" w:hAnsi="Times New Roman" w:eastAsia="宋体" w:cs="Times New Roman"/>
              </w:rPr>
              <w:t>）在噪声敏感建筑物集中区域施工作业，建设单位应当按照国家规定，设置噪声自动监测系统，与监督管理部门联网，保存原始监测记录，对监测数据的真实性和准确性负责。</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在此基础上，本项目施工期噪声对周围环境影响较小。</w:t>
            </w:r>
          </w:p>
          <w:p>
            <w:pPr>
              <w:pStyle w:val="16"/>
              <w:jc w:val="left"/>
              <w:rPr>
                <w:rFonts w:ascii="Times New Roman" w:hAnsi="Times New Roman" w:eastAsia="宋体" w:cs="Times New Roman"/>
                <w:b/>
                <w:bCs/>
              </w:rPr>
            </w:pPr>
            <w:r>
              <w:rPr>
                <w:rFonts w:hint="eastAsia" w:ascii="Times New Roman" w:hAnsi="Times New Roman" w:eastAsia="宋体" w:cs="Times New Roman"/>
                <w:b/>
                <w:bCs/>
              </w:rPr>
              <w:t>4、施工期固废污染防治措施</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（1）生活垃圾</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建设单位应加强管理，施工人员产生的生活垃圾应专门收集，委托当地环卫部门清运处理。</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（2）建筑垃圾</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根据《浙江省住房和城乡建设厅关于进一步规范建筑垃圾治理工作的实施意见》，对建筑垃圾进行减量化、资源化、无害化处理。</w:t>
            </w:r>
          </w:p>
          <w:p>
            <w:pPr>
              <w:pStyle w:val="16"/>
              <w:ind w:firstLine="442" w:firstLineChars="200"/>
              <w:rPr>
                <w:rFonts w:ascii="Times New Roman" w:hAnsi="Times New Roman" w:eastAsia="宋体" w:cs="Times New Roman"/>
              </w:rPr>
            </w:pPr>
            <w:r>
              <w:rPr>
                <w:rStyle w:val="34"/>
                <w:rFonts w:hint="eastAsia" w:ascii="Times New Roman" w:hAnsi="Times New Roman" w:eastAsia="宋体" w:cs="Times New Roman"/>
                <w:color w:val="333333"/>
                <w:sz w:val="22"/>
                <w:szCs w:val="22"/>
                <w:shd w:val="clear" w:color="auto" w:fill="FFFFFF"/>
              </w:rPr>
              <w:t>推行分类处理。</w:t>
            </w:r>
            <w:r>
              <w:rPr>
                <w:rFonts w:hint="eastAsia" w:ascii="Times New Roman" w:hAnsi="Times New Roman" w:eastAsia="宋体" w:cs="Times New Roman"/>
              </w:rPr>
              <w:t>将建筑垃圾分为工程渣土、废弃泥浆、工程垃圾、拆除垃圾、装修垃圾五大类，并以末端资源化利用处置为导向，推进工程垃圾、拆除垃圾、装修垃圾等进一步细分，畅通分类处置渠道。各类建设、拆除和装修工程（以下简称各类工程）的施工单位应当按照建筑垃圾分类标准，严格做到分类投放、分类收集、分类运输、分类处置，并落实防尘降尘措施。</w:t>
            </w:r>
          </w:p>
          <w:p>
            <w:pPr>
              <w:pStyle w:val="16"/>
              <w:ind w:firstLine="442" w:firstLineChars="200"/>
              <w:rPr>
                <w:rFonts w:ascii="Times New Roman" w:hAnsi="Times New Roman" w:eastAsia="宋体" w:cs="Times New Roman"/>
              </w:rPr>
            </w:pPr>
            <w:r>
              <w:rPr>
                <w:rStyle w:val="34"/>
                <w:rFonts w:hint="eastAsia" w:ascii="Times New Roman" w:hAnsi="Times New Roman" w:eastAsia="宋体" w:cs="Times New Roman"/>
                <w:color w:val="333333"/>
                <w:sz w:val="22"/>
                <w:szCs w:val="22"/>
              </w:rPr>
              <w:t>完善处置核准。</w:t>
            </w:r>
            <w:r>
              <w:rPr>
                <w:rFonts w:hint="eastAsia" w:ascii="Times New Roman" w:hAnsi="Times New Roman" w:eastAsia="宋体" w:cs="Times New Roman"/>
              </w:rPr>
              <w:t>依法严格落实建筑垃圾处置核准和事中事后监管制度，全面推行建筑垃圾处置核准“一网通办”。要求各类施工场地安装在线监测和视频监控设备，实现与当地有关主管部门联网。进一步规范基坑开挖、回填作业，限额以上建设工程取得建筑工程施工许可后方可开工。各类工程施工单位应当在工程开工前依法编制建筑垃圾处理方案，明确建筑垃圾预计产生量、处置去向等关键要素，做好现场公示，并依法报工程所在地市容环境卫生主管部门备案。拆除垃圾应当在产生后及时清理完毕。全面实行建筑垃圾产生、运输、处置全过程电子联单管理，实现建筑垃圾的种类、数量和流向等情况可追溯、可查询，并实现信息共享全覆盖。</w:t>
            </w:r>
          </w:p>
          <w:p>
            <w:pPr>
              <w:pStyle w:val="16"/>
              <w:ind w:firstLine="442" w:firstLineChars="200"/>
              <w:rPr>
                <w:rFonts w:ascii="Times New Roman" w:hAnsi="Times New Roman" w:eastAsia="宋体" w:cs="Times New Roman"/>
              </w:rPr>
            </w:pPr>
            <w:r>
              <w:rPr>
                <w:rStyle w:val="34"/>
                <w:rFonts w:hint="eastAsia" w:ascii="Times New Roman" w:hAnsi="Times New Roman" w:eastAsia="宋体" w:cs="Times New Roman"/>
                <w:color w:val="333333"/>
                <w:sz w:val="22"/>
                <w:szCs w:val="22"/>
              </w:rPr>
              <w:t>严格运输监管。</w:t>
            </w:r>
            <w:r>
              <w:rPr>
                <w:rFonts w:hint="eastAsia" w:ascii="Times New Roman" w:hAnsi="Times New Roman" w:eastAsia="宋体" w:cs="Times New Roman"/>
              </w:rPr>
              <w:t>依法严格执行建筑垃圾运输处置核准制度，各类工程的施工单位不得将建筑垃圾交给个人或未经核准从事建筑垃圾运输的单位运输。充分运用信息技术手段，加强对车船运输路线、核定载重、核定装卸货点等关键环节监管力度，严厉打击无证运输、未密闭运输、超经营范围运输、超速超载、抛撒滴漏、沿途丢弃、不按规定路线与时间运输等违法行为。</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（3）桩基施工泥浆及泥渣</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工地打桩产生大量的污水泥浆，主要污染物为泥沙，岩石砂石，泥浆。其中泥渣悬浮于水中，较难沉降，直接排放对水体污染严重。根据施工现场的实际情况设计现场泥浆池平面布置。每个泥浆池分循环池、储浆池，中间设泥浆通道。循环池与桩机钻孔和泥浆槽相连，泥浆在桩机钻孔与循环池间循环，不能重复利用的泥浆采用泥浆泵抽至封闭式罐车运至指定地点弃浆。钻孔产生的泥渣及时清理外运，外运时通过反铲装至专用运输车，运输车保证密闭性，防止在运输过程中泥浆洒落，运至指定地点并倾倒。</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（4）废包装桶</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施工期间由于装修产生的废弃油漆桶，属于《国家危险废物名录（2021年版）》中“HW</w:t>
            </w:r>
            <w:r>
              <w:rPr>
                <w:rFonts w:ascii="Times New Roman" w:hAnsi="Times New Roman" w:eastAsia="宋体" w:cs="Times New Roman"/>
              </w:rPr>
              <w:t>49</w:t>
            </w:r>
            <w:r>
              <w:rPr>
                <w:rFonts w:hint="eastAsia" w:ascii="Times New Roman" w:hAnsi="Times New Roman" w:eastAsia="宋体" w:cs="Times New Roman"/>
              </w:rPr>
              <w:t>其他废物”。本项目危险固体废物需委托有资质的危险废物处置单位进行处置。废弃油漆桶的临时贮存应按《危险废物贮存污染控制标准》（</w:t>
            </w:r>
            <w:r>
              <w:rPr>
                <w:rFonts w:ascii="Times New Roman" w:hAnsi="Times New Roman" w:eastAsia="宋体" w:cs="Times New Roman"/>
              </w:rPr>
              <w:t>GB18597-2023</w:t>
            </w:r>
            <w:r>
              <w:rPr>
                <w:rFonts w:hint="eastAsia" w:ascii="Times New Roman" w:hAnsi="Times New Roman" w:eastAsia="宋体" w:cs="Times New Roman"/>
              </w:rPr>
              <w:t>）严格执行。在施工期间应设置一个5m</w:t>
            </w:r>
            <w:r>
              <w:rPr>
                <w:rFonts w:hint="eastAsia" w:ascii="Times New Roman" w:hAnsi="Times New Roman" w:eastAsia="宋体" w:cs="Times New Roman"/>
                <w:vertAlign w:val="superscript"/>
              </w:rPr>
              <w:t>2</w:t>
            </w:r>
            <w:r>
              <w:rPr>
                <w:rFonts w:hint="eastAsia" w:ascii="Times New Roman" w:hAnsi="Times New Roman" w:eastAsia="宋体" w:cs="Times New Roman"/>
              </w:rPr>
              <w:t>大的废弃油漆桶收集暂存间，对废弃油漆桶进行统一收集。该收集暂存间地面必须采取硬化防渗措施，同时必须防止雨水对危险废物的淋洗，或大风对其卷扬，收集暂存间顶棚必须防雨并结实，同时收集暂存间四周应该建设具有防风构筑物。施工期废油漆桶委托有危废处理资质的单位处理。</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在此基础上，本项目施工期固废对周围环境影响较小。</w:t>
            </w: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456" w:type="dxa"/>
            <w:vAlign w:val="center"/>
          </w:tcPr>
          <w:p>
            <w:pPr>
              <w:pStyle w:val="16"/>
              <w:spacing w:line="240" w:lineRule="auto"/>
              <w:jc w:val="center"/>
              <w:rPr>
                <w:rFonts w:ascii="Times New Roman" w:hAnsi="Times New Roman" w:eastAsia="宋体" w:cs="Times New Roman"/>
              </w:rPr>
            </w:pPr>
            <w:r>
              <w:rPr>
                <w:rFonts w:hint="eastAsia" w:ascii="Times New Roman" w:hAnsi="Times New Roman" w:eastAsia="宋体" w:cs="Times New Roman"/>
              </w:rPr>
              <w:t>营运期环境影响和保护措施</w:t>
            </w:r>
          </w:p>
        </w:tc>
        <w:tc>
          <w:tcPr>
            <w:tcW w:w="7875" w:type="dxa"/>
          </w:tcPr>
          <w:p>
            <w:pPr>
              <w:pStyle w:val="16"/>
              <w:ind w:firstLine="482" w:firstLineChars="200"/>
              <w:jc w:val="left"/>
              <w:rPr>
                <w:rFonts w:ascii="Times New Roman" w:hAnsi="Times New Roman" w:eastAsia="宋体" w:cs="Times New Roman"/>
                <w:b/>
              </w:rPr>
            </w:pPr>
            <w:r>
              <w:rPr>
                <w:rFonts w:hint="eastAsia" w:ascii="Times New Roman" w:hAnsi="Times New Roman" w:eastAsia="宋体" w:cs="Times New Roman"/>
                <w:b/>
              </w:rPr>
              <w:t>1、废气</w:t>
            </w:r>
          </w:p>
          <w:p>
            <w:pPr>
              <w:pStyle w:val="16"/>
              <w:ind w:firstLine="480" w:firstLineChars="200"/>
              <w:jc w:val="left"/>
              <w:rPr>
                <w:rFonts w:ascii="Times New Roman" w:hAnsi="Times New Roman" w:eastAsia="宋体" w:cs="Times New Roman"/>
              </w:rPr>
            </w:pPr>
            <w:r>
              <w:rPr>
                <w:rFonts w:hint="eastAsia" w:ascii="Times New Roman" w:hAnsi="Times New Roman" w:eastAsia="宋体" w:cs="Times New Roman"/>
              </w:rPr>
              <w:t>（1）源强分析</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本项目营运期废气主要来源于汽车尾气、垃圾房臭气、食堂油烟废气、实验废气。</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1）汽车尾气</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本项目共设置机动停车位328辆，其中地上19辆，地下309辆。车辆在进出地下车库及地面停车位时会产生汽车尾气。由于地面停车位的汽车启动时间比较短，废气量也小，在露天空旷条件下很容易扩散，对周围环境影响不明显。因此，本评价重点对地下车库的汽车尾气排放情况进行分析。</w:t>
            </w:r>
          </w:p>
          <w:p>
            <w:pPr>
              <w:ind w:firstLine="480" w:firstLineChars="200"/>
              <w:rPr>
                <w:rFonts w:eastAsia="宋体"/>
              </w:rPr>
            </w:pPr>
            <w:r>
              <w:rPr>
                <w:rFonts w:hint="eastAsia" w:eastAsia="宋体"/>
              </w:rPr>
              <w:t>出入校园的汽车主要为小型车。汽车尾气的排放量根据车辆数、耗油量和运行时间等因素确定。根据统计资料及类比调查，当车辆怠速行驶，速度小于5km/h时平均耗油0.2L/km，即0.017L/min（92号无铅汽油的密度为0.725kg/L），正常行驶时（车速大于15km/h）平均耗油0.1L/km，汽油燃烧后所产生的污染物将向周围空气排放。</w:t>
            </w:r>
          </w:p>
          <w:p>
            <w:pPr>
              <w:ind w:firstLine="480" w:firstLineChars="200"/>
              <w:rPr>
                <w:rFonts w:eastAsia="宋体"/>
              </w:rPr>
            </w:pPr>
            <w:r>
              <w:rPr>
                <w:rFonts w:hint="eastAsia" w:eastAsia="宋体"/>
              </w:rPr>
              <w:t>在相同的耗油量情况下，汽车尾气污染物排放量还与空燃比有关。当空燃比较大时（大于14.5时），燃油燃烧充分，产生CO</w:t>
            </w:r>
            <w:r>
              <w:rPr>
                <w:rFonts w:hint="eastAsia" w:eastAsia="宋体"/>
                <w:vertAlign w:val="subscript"/>
              </w:rPr>
              <w:t>2</w:t>
            </w:r>
            <w:r>
              <w:rPr>
                <w:rFonts w:hint="eastAsia" w:eastAsia="宋体"/>
              </w:rPr>
              <w:t>及H</w:t>
            </w:r>
            <w:r>
              <w:rPr>
                <w:rFonts w:hint="eastAsia" w:eastAsia="宋体"/>
                <w:vertAlign w:val="subscript"/>
              </w:rPr>
              <w:t>2</w:t>
            </w:r>
            <w:r>
              <w:rPr>
                <w:rFonts w:hint="eastAsia" w:eastAsia="宋体"/>
              </w:rPr>
              <w:t>O气体。当空燃比较低时（小于14.5时），燃油不充分燃烧，产生CO、HC、NOx等污染物。根据调查，当车辆怠速行驶，速度小于5km/h时，平均空燃比约为12：1。</w:t>
            </w:r>
          </w:p>
          <w:p>
            <w:pPr>
              <w:ind w:firstLine="480" w:firstLineChars="200"/>
              <w:rPr>
                <w:rFonts w:eastAsia="宋体"/>
              </w:rPr>
            </w:pPr>
            <w:r>
              <w:rPr>
                <w:rFonts w:hint="eastAsia" w:eastAsia="宋体"/>
              </w:rPr>
              <w:t>汽车尾气中CO、HC、NOx等污染物浓度随汽车行驶状况不同而有较大差异，汽车在怠速与正常行驶时所排放的各污染物浓度见表4-1。</w:t>
            </w:r>
          </w:p>
          <w:p>
            <w:pPr>
              <w:spacing w:before="156" w:beforeLines="50" w:line="240" w:lineRule="auto"/>
              <w:jc w:val="center"/>
              <w:rPr>
                <w:rFonts w:eastAsia="宋体"/>
                <w:b/>
                <w:bCs/>
                <w:sz w:val="21"/>
                <w:szCs w:val="21"/>
              </w:rPr>
            </w:pPr>
            <w:r>
              <w:rPr>
                <w:rFonts w:hint="eastAsia" w:eastAsia="宋体"/>
                <w:b/>
                <w:bCs/>
                <w:sz w:val="21"/>
                <w:szCs w:val="21"/>
              </w:rPr>
              <w:t>表4-1汽车废气中各污染物浓度</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1529"/>
              <w:gridCol w:w="1530"/>
              <w:gridCol w:w="1531"/>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6" w:type="dxa"/>
                  <w:vAlign w:val="center"/>
                </w:tcPr>
                <w:p>
                  <w:pPr>
                    <w:spacing w:line="240" w:lineRule="auto"/>
                    <w:jc w:val="center"/>
                    <w:rPr>
                      <w:rFonts w:eastAsia="宋体"/>
                      <w:b/>
                      <w:bCs/>
                      <w:sz w:val="21"/>
                      <w:szCs w:val="21"/>
                    </w:rPr>
                  </w:pPr>
                  <w:r>
                    <w:rPr>
                      <w:rFonts w:hint="eastAsia" w:eastAsia="宋体"/>
                      <w:b/>
                      <w:bCs/>
                      <w:sz w:val="21"/>
                      <w:szCs w:val="21"/>
                    </w:rPr>
                    <w:t>污染物</w:t>
                  </w:r>
                </w:p>
              </w:tc>
              <w:tc>
                <w:tcPr>
                  <w:tcW w:w="1587" w:type="dxa"/>
                  <w:vAlign w:val="center"/>
                </w:tcPr>
                <w:p>
                  <w:pPr>
                    <w:spacing w:line="240" w:lineRule="auto"/>
                    <w:jc w:val="center"/>
                    <w:rPr>
                      <w:rFonts w:eastAsia="宋体"/>
                      <w:b/>
                      <w:bCs/>
                      <w:sz w:val="21"/>
                      <w:szCs w:val="21"/>
                    </w:rPr>
                  </w:pPr>
                  <w:r>
                    <w:rPr>
                      <w:rFonts w:hint="eastAsia" w:eastAsia="宋体"/>
                      <w:b/>
                      <w:bCs/>
                      <w:sz w:val="21"/>
                      <w:szCs w:val="21"/>
                    </w:rPr>
                    <w:t>单位</w:t>
                  </w:r>
                </w:p>
              </w:tc>
              <w:tc>
                <w:tcPr>
                  <w:tcW w:w="1588" w:type="dxa"/>
                  <w:vAlign w:val="center"/>
                </w:tcPr>
                <w:p>
                  <w:pPr>
                    <w:spacing w:line="240" w:lineRule="auto"/>
                    <w:jc w:val="center"/>
                    <w:rPr>
                      <w:rFonts w:eastAsia="宋体"/>
                      <w:b/>
                      <w:bCs/>
                      <w:sz w:val="21"/>
                      <w:szCs w:val="21"/>
                    </w:rPr>
                  </w:pPr>
                  <w:r>
                    <w:rPr>
                      <w:rFonts w:hint="eastAsia" w:eastAsia="宋体"/>
                      <w:b/>
                      <w:bCs/>
                      <w:sz w:val="21"/>
                      <w:szCs w:val="21"/>
                    </w:rPr>
                    <w:t>怠速</w:t>
                  </w:r>
                </w:p>
              </w:tc>
              <w:tc>
                <w:tcPr>
                  <w:tcW w:w="1588" w:type="dxa"/>
                  <w:vAlign w:val="center"/>
                </w:tcPr>
                <w:p>
                  <w:pPr>
                    <w:spacing w:line="240" w:lineRule="auto"/>
                    <w:jc w:val="center"/>
                    <w:rPr>
                      <w:rFonts w:eastAsia="宋体"/>
                      <w:b/>
                      <w:bCs/>
                      <w:sz w:val="21"/>
                      <w:szCs w:val="21"/>
                    </w:rPr>
                  </w:pPr>
                  <w:r>
                    <w:rPr>
                      <w:rFonts w:hint="eastAsia" w:eastAsia="宋体"/>
                      <w:b/>
                      <w:bCs/>
                      <w:sz w:val="21"/>
                      <w:szCs w:val="21"/>
                    </w:rPr>
                    <w:t>正常行驶</w:t>
                  </w:r>
                </w:p>
              </w:tc>
              <w:tc>
                <w:tcPr>
                  <w:tcW w:w="1588" w:type="dxa"/>
                  <w:vAlign w:val="center"/>
                </w:tcPr>
                <w:p>
                  <w:pPr>
                    <w:spacing w:line="240" w:lineRule="auto"/>
                    <w:jc w:val="center"/>
                    <w:rPr>
                      <w:rFonts w:eastAsia="宋体"/>
                      <w:b/>
                      <w:bCs/>
                      <w:sz w:val="21"/>
                      <w:szCs w:val="21"/>
                    </w:rPr>
                  </w:pPr>
                  <w:r>
                    <w:rPr>
                      <w:rFonts w:hint="eastAsia" w:eastAsia="宋体"/>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6" w:type="dxa"/>
                  <w:vAlign w:val="center"/>
                </w:tcPr>
                <w:p>
                  <w:pPr>
                    <w:spacing w:line="240" w:lineRule="auto"/>
                    <w:jc w:val="center"/>
                    <w:rPr>
                      <w:rFonts w:eastAsia="宋体"/>
                      <w:sz w:val="21"/>
                      <w:szCs w:val="21"/>
                    </w:rPr>
                  </w:pPr>
                  <w:r>
                    <w:rPr>
                      <w:rFonts w:hint="eastAsia" w:eastAsia="宋体"/>
                      <w:sz w:val="21"/>
                      <w:szCs w:val="21"/>
                    </w:rPr>
                    <w:t>CO</w:t>
                  </w:r>
                </w:p>
              </w:tc>
              <w:tc>
                <w:tcPr>
                  <w:tcW w:w="1587" w:type="dxa"/>
                  <w:vAlign w:val="center"/>
                </w:tcPr>
                <w:p>
                  <w:pPr>
                    <w:spacing w:line="240" w:lineRule="auto"/>
                    <w:jc w:val="center"/>
                    <w:rPr>
                      <w:rFonts w:eastAsia="宋体"/>
                      <w:sz w:val="21"/>
                      <w:szCs w:val="21"/>
                    </w:rPr>
                  </w:pPr>
                  <w:r>
                    <w:rPr>
                      <w:rFonts w:hint="eastAsia" w:eastAsia="宋体"/>
                      <w:sz w:val="21"/>
                      <w:szCs w:val="21"/>
                    </w:rPr>
                    <w:t>%</w:t>
                  </w:r>
                </w:p>
              </w:tc>
              <w:tc>
                <w:tcPr>
                  <w:tcW w:w="1588" w:type="dxa"/>
                  <w:vAlign w:val="center"/>
                </w:tcPr>
                <w:p>
                  <w:pPr>
                    <w:spacing w:line="240" w:lineRule="auto"/>
                    <w:jc w:val="center"/>
                    <w:rPr>
                      <w:rFonts w:eastAsia="宋体"/>
                      <w:sz w:val="21"/>
                      <w:szCs w:val="21"/>
                    </w:rPr>
                  </w:pPr>
                  <w:r>
                    <w:rPr>
                      <w:rFonts w:hint="eastAsia" w:eastAsia="宋体"/>
                      <w:sz w:val="21"/>
                      <w:szCs w:val="21"/>
                    </w:rPr>
                    <w:t>4.07</w:t>
                  </w:r>
                </w:p>
              </w:tc>
              <w:tc>
                <w:tcPr>
                  <w:tcW w:w="1588" w:type="dxa"/>
                  <w:vAlign w:val="center"/>
                </w:tcPr>
                <w:p>
                  <w:pPr>
                    <w:spacing w:line="240" w:lineRule="auto"/>
                    <w:jc w:val="center"/>
                    <w:rPr>
                      <w:rFonts w:eastAsia="宋体"/>
                      <w:sz w:val="21"/>
                      <w:szCs w:val="21"/>
                    </w:rPr>
                  </w:pPr>
                  <w:r>
                    <w:rPr>
                      <w:rFonts w:hint="eastAsia" w:eastAsia="宋体"/>
                      <w:sz w:val="21"/>
                      <w:szCs w:val="21"/>
                    </w:rPr>
                    <w:t>2</w:t>
                  </w:r>
                </w:p>
              </w:tc>
              <w:tc>
                <w:tcPr>
                  <w:tcW w:w="1588" w:type="dxa"/>
                  <w:vAlign w:val="center"/>
                </w:tcPr>
                <w:p>
                  <w:pPr>
                    <w:spacing w:line="240" w:lineRule="auto"/>
                    <w:jc w:val="center"/>
                    <w:rPr>
                      <w:rFonts w:eastAsia="宋体"/>
                      <w:sz w:val="21"/>
                      <w:szCs w:val="21"/>
                    </w:rPr>
                  </w:pPr>
                  <w:r>
                    <w:rPr>
                      <w:rFonts w:hint="eastAsia" w:eastAsia="宋体"/>
                      <w:sz w:val="21"/>
                      <w:szCs w:val="21"/>
                    </w:rPr>
                    <w:t>容积比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6" w:type="dxa"/>
                  <w:vAlign w:val="center"/>
                </w:tcPr>
                <w:p>
                  <w:pPr>
                    <w:spacing w:line="240" w:lineRule="auto"/>
                    <w:jc w:val="center"/>
                    <w:rPr>
                      <w:rFonts w:eastAsia="宋体"/>
                      <w:sz w:val="21"/>
                      <w:szCs w:val="21"/>
                    </w:rPr>
                  </w:pPr>
                  <w:r>
                    <w:rPr>
                      <w:rFonts w:hint="eastAsia" w:eastAsia="宋体"/>
                      <w:sz w:val="21"/>
                      <w:szCs w:val="21"/>
                    </w:rPr>
                    <w:t>HC</w:t>
                  </w:r>
                </w:p>
              </w:tc>
              <w:tc>
                <w:tcPr>
                  <w:tcW w:w="1587" w:type="dxa"/>
                  <w:vAlign w:val="center"/>
                </w:tcPr>
                <w:p>
                  <w:pPr>
                    <w:spacing w:line="240" w:lineRule="auto"/>
                    <w:jc w:val="center"/>
                    <w:rPr>
                      <w:rFonts w:eastAsia="宋体"/>
                      <w:sz w:val="21"/>
                      <w:szCs w:val="21"/>
                    </w:rPr>
                  </w:pPr>
                  <w:r>
                    <w:rPr>
                      <w:rFonts w:hint="eastAsia" w:eastAsia="宋体"/>
                      <w:sz w:val="21"/>
                      <w:szCs w:val="21"/>
                    </w:rPr>
                    <w:t>ppm</w:t>
                  </w:r>
                </w:p>
              </w:tc>
              <w:tc>
                <w:tcPr>
                  <w:tcW w:w="1588" w:type="dxa"/>
                  <w:vAlign w:val="center"/>
                </w:tcPr>
                <w:p>
                  <w:pPr>
                    <w:spacing w:line="240" w:lineRule="auto"/>
                    <w:jc w:val="center"/>
                    <w:rPr>
                      <w:rFonts w:eastAsia="宋体"/>
                      <w:sz w:val="21"/>
                      <w:szCs w:val="21"/>
                    </w:rPr>
                  </w:pPr>
                  <w:r>
                    <w:rPr>
                      <w:rFonts w:hint="eastAsia" w:eastAsia="宋体"/>
                      <w:sz w:val="21"/>
                      <w:szCs w:val="21"/>
                    </w:rPr>
                    <w:t>1200</w:t>
                  </w:r>
                </w:p>
              </w:tc>
              <w:tc>
                <w:tcPr>
                  <w:tcW w:w="1588" w:type="dxa"/>
                  <w:vAlign w:val="center"/>
                </w:tcPr>
                <w:p>
                  <w:pPr>
                    <w:spacing w:line="240" w:lineRule="auto"/>
                    <w:jc w:val="center"/>
                    <w:rPr>
                      <w:rFonts w:eastAsia="宋体"/>
                      <w:sz w:val="21"/>
                      <w:szCs w:val="21"/>
                    </w:rPr>
                  </w:pPr>
                  <w:r>
                    <w:rPr>
                      <w:rFonts w:hint="eastAsia" w:eastAsia="宋体"/>
                      <w:sz w:val="21"/>
                      <w:szCs w:val="21"/>
                    </w:rPr>
                    <w:t>400</w:t>
                  </w:r>
                </w:p>
              </w:tc>
              <w:tc>
                <w:tcPr>
                  <w:tcW w:w="1588" w:type="dxa"/>
                  <w:vAlign w:val="center"/>
                </w:tcPr>
                <w:p>
                  <w:pPr>
                    <w:spacing w:line="240" w:lineRule="auto"/>
                    <w:jc w:val="center"/>
                    <w:rPr>
                      <w:rFonts w:eastAsia="宋体"/>
                      <w:sz w:val="21"/>
                      <w:szCs w:val="21"/>
                    </w:rPr>
                  </w:pPr>
                  <w:r>
                    <w:rPr>
                      <w:rFonts w:hint="eastAsia" w:eastAsia="宋体"/>
                      <w:sz w:val="21"/>
                      <w:szCs w:val="21"/>
                    </w:rPr>
                    <w:t>容积比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6" w:type="dxa"/>
                  <w:vAlign w:val="center"/>
                </w:tcPr>
                <w:p>
                  <w:pPr>
                    <w:spacing w:line="240" w:lineRule="auto"/>
                    <w:jc w:val="center"/>
                    <w:rPr>
                      <w:rFonts w:eastAsia="宋体"/>
                      <w:sz w:val="21"/>
                      <w:szCs w:val="21"/>
                    </w:rPr>
                  </w:pPr>
                  <w:r>
                    <w:rPr>
                      <w:rFonts w:hint="eastAsia" w:eastAsia="宋体"/>
                      <w:sz w:val="21"/>
                      <w:szCs w:val="21"/>
                    </w:rPr>
                    <w:t>NOx</w:t>
                  </w:r>
                </w:p>
              </w:tc>
              <w:tc>
                <w:tcPr>
                  <w:tcW w:w="1587" w:type="dxa"/>
                  <w:vAlign w:val="center"/>
                </w:tcPr>
                <w:p>
                  <w:pPr>
                    <w:spacing w:line="240" w:lineRule="auto"/>
                    <w:jc w:val="center"/>
                    <w:rPr>
                      <w:rFonts w:eastAsia="宋体"/>
                      <w:sz w:val="21"/>
                      <w:szCs w:val="21"/>
                    </w:rPr>
                  </w:pPr>
                  <w:r>
                    <w:rPr>
                      <w:rFonts w:hint="eastAsia" w:eastAsia="宋体"/>
                      <w:sz w:val="21"/>
                      <w:szCs w:val="21"/>
                    </w:rPr>
                    <w:t>ppm</w:t>
                  </w:r>
                </w:p>
              </w:tc>
              <w:tc>
                <w:tcPr>
                  <w:tcW w:w="1588" w:type="dxa"/>
                  <w:vAlign w:val="center"/>
                </w:tcPr>
                <w:p>
                  <w:pPr>
                    <w:pStyle w:val="76"/>
                    <w:spacing w:line="240" w:lineRule="auto"/>
                    <w:rPr>
                      <w:rFonts w:eastAsia="宋体"/>
                      <w:sz w:val="21"/>
                      <w:szCs w:val="21"/>
                    </w:rPr>
                  </w:pPr>
                  <w:r>
                    <w:rPr>
                      <w:rFonts w:hint="eastAsia" w:eastAsia="宋体"/>
                      <w:sz w:val="21"/>
                      <w:szCs w:val="21"/>
                    </w:rPr>
                    <w:t>600</w:t>
                  </w:r>
                </w:p>
              </w:tc>
              <w:tc>
                <w:tcPr>
                  <w:tcW w:w="1588" w:type="dxa"/>
                  <w:vAlign w:val="center"/>
                </w:tcPr>
                <w:p>
                  <w:pPr>
                    <w:spacing w:line="240" w:lineRule="auto"/>
                    <w:jc w:val="center"/>
                    <w:rPr>
                      <w:rFonts w:eastAsia="宋体"/>
                      <w:sz w:val="21"/>
                      <w:szCs w:val="21"/>
                    </w:rPr>
                  </w:pPr>
                  <w:r>
                    <w:rPr>
                      <w:rFonts w:hint="eastAsia" w:eastAsia="宋体"/>
                      <w:sz w:val="21"/>
                      <w:szCs w:val="21"/>
                    </w:rPr>
                    <w:t>1000</w:t>
                  </w:r>
                </w:p>
              </w:tc>
              <w:tc>
                <w:tcPr>
                  <w:tcW w:w="1588" w:type="dxa"/>
                  <w:vAlign w:val="center"/>
                </w:tcPr>
                <w:p>
                  <w:pPr>
                    <w:spacing w:line="240" w:lineRule="auto"/>
                    <w:jc w:val="center"/>
                    <w:rPr>
                      <w:rFonts w:eastAsia="宋体"/>
                      <w:sz w:val="21"/>
                      <w:szCs w:val="21"/>
                    </w:rPr>
                  </w:pPr>
                  <w:r>
                    <w:rPr>
                      <w:rFonts w:hint="eastAsia" w:eastAsia="宋体"/>
                      <w:sz w:val="21"/>
                      <w:szCs w:val="21"/>
                    </w:rPr>
                    <w:t>容积比</w:t>
                  </w:r>
                </w:p>
              </w:tc>
            </w:tr>
          </w:tbl>
          <w:p>
            <w:pPr>
              <w:ind w:firstLine="482"/>
              <w:rPr>
                <w:rFonts w:eastAsia="宋体"/>
              </w:rPr>
            </w:pPr>
            <w:r>
              <w:rPr>
                <w:rFonts w:hint="eastAsia" w:eastAsia="宋体"/>
              </w:rPr>
              <w:t>①汽车尾气计算公式</w:t>
            </w:r>
          </w:p>
          <w:p>
            <w:pPr>
              <w:pStyle w:val="150"/>
              <w:adjustRightInd/>
              <w:spacing w:line="360" w:lineRule="auto"/>
              <w:ind w:firstLineChars="200"/>
              <w:jc w:val="left"/>
              <w:textAlignment w:val="auto"/>
              <w:rPr>
                <w:rFonts w:eastAsia="宋体"/>
                <w:sz w:val="24"/>
                <w:szCs w:val="24"/>
              </w:rPr>
            </w:pPr>
            <w:r>
              <w:rPr>
                <w:rFonts w:hint="eastAsia" w:eastAsia="宋体"/>
                <w:sz w:val="24"/>
                <w:szCs w:val="24"/>
              </w:rPr>
              <w:t>汽车废气排放量按下式进行：</w:t>
            </w:r>
          </w:p>
          <w:p>
            <w:pPr>
              <w:jc w:val="center"/>
              <w:rPr>
                <w:rFonts w:eastAsia="宋体"/>
              </w:rPr>
            </w:pPr>
            <w:r>
              <w:rPr>
                <w:rFonts w:eastAsia="宋体"/>
              </w:rPr>
              <w:t>D=QT（K+1）A/1.29公式</w:t>
            </w:r>
            <w:r>
              <w:rPr>
                <w:rFonts w:eastAsia="宋体"/>
              </w:rPr>
              <w:fldChar w:fldCharType="begin"/>
            </w:r>
            <w:r>
              <w:rPr>
                <w:rFonts w:eastAsia="宋体"/>
              </w:rPr>
              <w:instrText xml:space="preserve"> = 1 \* GB2 </w:instrText>
            </w:r>
            <w:r>
              <w:rPr>
                <w:rFonts w:eastAsia="宋体"/>
              </w:rPr>
              <w:fldChar w:fldCharType="separate"/>
            </w:r>
            <w:r>
              <w:rPr>
                <w:rFonts w:hint="eastAsia" w:ascii="宋体" w:hAnsi="宋体" w:eastAsia="宋体" w:cs="宋体"/>
              </w:rPr>
              <w:t>⑴</w:t>
            </w:r>
            <w:r>
              <w:rPr>
                <w:rFonts w:eastAsia="宋体"/>
              </w:rPr>
              <w:fldChar w:fldCharType="end"/>
            </w:r>
          </w:p>
          <w:p>
            <w:pPr>
              <w:ind w:firstLine="570"/>
              <w:rPr>
                <w:rFonts w:eastAsia="宋体"/>
              </w:rPr>
            </w:pPr>
            <w:r>
              <w:rPr>
                <w:rFonts w:eastAsia="宋体"/>
              </w:rPr>
              <w:t>式中：D为废气排放量，m</w:t>
            </w:r>
            <w:r>
              <w:rPr>
                <w:rFonts w:eastAsia="宋体"/>
                <w:vertAlign w:val="superscript"/>
              </w:rPr>
              <w:t>3</w:t>
            </w:r>
            <w:r>
              <w:rPr>
                <w:rFonts w:eastAsia="宋体"/>
              </w:rPr>
              <w:t>/h；Q为汽车车流量，V/h；T为车辆运行的时间，min；K为空燃比；A为燃油耗量，kg/min。</w:t>
            </w:r>
          </w:p>
          <w:p>
            <w:pPr>
              <w:ind w:firstLine="570"/>
              <w:rPr>
                <w:rFonts w:eastAsia="宋体"/>
              </w:rPr>
            </w:pPr>
            <w:r>
              <w:rPr>
                <w:rFonts w:eastAsia="宋体"/>
              </w:rPr>
              <w:t>污染物排放量按下式计算：</w:t>
            </w:r>
          </w:p>
          <w:p>
            <w:pPr>
              <w:jc w:val="center"/>
              <w:rPr>
                <w:rFonts w:eastAsia="宋体"/>
              </w:rPr>
            </w:pPr>
            <w:r>
              <w:rPr>
                <w:rFonts w:eastAsia="宋体"/>
              </w:rPr>
              <w:t>G=DCf公式</w:t>
            </w:r>
            <w:r>
              <w:rPr>
                <w:rFonts w:eastAsia="宋体"/>
              </w:rPr>
              <w:fldChar w:fldCharType="begin"/>
            </w:r>
            <w:r>
              <w:rPr>
                <w:rFonts w:eastAsia="宋体"/>
              </w:rPr>
              <w:instrText xml:space="preserve"> = 2 \* GB2 </w:instrText>
            </w:r>
            <w:r>
              <w:rPr>
                <w:rFonts w:eastAsia="宋体"/>
              </w:rPr>
              <w:fldChar w:fldCharType="separate"/>
            </w:r>
            <w:r>
              <w:rPr>
                <w:rFonts w:hint="eastAsia" w:ascii="宋体" w:hAnsi="宋体" w:eastAsia="宋体" w:cs="宋体"/>
              </w:rPr>
              <w:t>⑵</w:t>
            </w:r>
            <w:r>
              <w:rPr>
                <w:rFonts w:eastAsia="宋体"/>
              </w:rPr>
              <w:fldChar w:fldCharType="end"/>
            </w:r>
          </w:p>
          <w:p>
            <w:pPr>
              <w:ind w:firstLine="570"/>
              <w:rPr>
                <w:rFonts w:eastAsia="宋体"/>
              </w:rPr>
            </w:pPr>
            <w:r>
              <w:rPr>
                <w:rFonts w:hint="eastAsia" w:eastAsia="宋体"/>
              </w:rPr>
              <w:t>式中：</w:t>
            </w:r>
            <w:r>
              <w:rPr>
                <w:rFonts w:eastAsia="宋体"/>
              </w:rPr>
              <w:t>G</w:t>
            </w:r>
            <w:r>
              <w:rPr>
                <w:rFonts w:hint="eastAsia" w:eastAsia="宋体"/>
              </w:rPr>
              <w:t>为污染物排放量，k</w:t>
            </w:r>
            <w:r>
              <w:rPr>
                <w:rFonts w:eastAsia="宋体"/>
              </w:rPr>
              <w:t>g/h</w:t>
            </w:r>
            <w:r>
              <w:rPr>
                <w:rFonts w:hint="eastAsia" w:eastAsia="宋体"/>
              </w:rPr>
              <w:t>；</w:t>
            </w:r>
            <w:r>
              <w:rPr>
                <w:rFonts w:eastAsia="宋体"/>
              </w:rPr>
              <w:t>C</w:t>
            </w:r>
            <w:r>
              <w:rPr>
                <w:rFonts w:hint="eastAsia" w:eastAsia="宋体"/>
              </w:rPr>
              <w:t>为污染物的排放浓度，容积比，</w:t>
            </w:r>
            <w:r>
              <w:rPr>
                <w:rFonts w:eastAsia="宋体"/>
              </w:rPr>
              <w:t>ppm</w:t>
            </w:r>
            <w:r>
              <w:rPr>
                <w:rFonts w:hint="eastAsia" w:eastAsia="宋体"/>
              </w:rPr>
              <w:t>；</w:t>
            </w:r>
            <w:r>
              <w:rPr>
                <w:rFonts w:eastAsia="宋体"/>
              </w:rPr>
              <w:t>F</w:t>
            </w:r>
            <w:r>
              <w:rPr>
                <w:rFonts w:hint="eastAsia" w:eastAsia="宋体"/>
              </w:rPr>
              <w:t>为容积与质量换算系数，具体见表4-2。</w:t>
            </w:r>
          </w:p>
          <w:p>
            <w:pPr>
              <w:spacing w:before="156" w:beforeLines="50" w:line="240" w:lineRule="auto"/>
              <w:jc w:val="center"/>
              <w:rPr>
                <w:rFonts w:eastAsia="宋体"/>
                <w:b/>
                <w:bCs/>
                <w:sz w:val="21"/>
                <w:szCs w:val="21"/>
              </w:rPr>
            </w:pPr>
            <w:r>
              <w:rPr>
                <w:rFonts w:hint="eastAsia" w:eastAsia="宋体"/>
                <w:b/>
                <w:bCs/>
                <w:sz w:val="21"/>
                <w:szCs w:val="21"/>
              </w:rPr>
              <w:t>表4-2汽车尾气中物质容积与质量换算系数</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8"/>
              <w:gridCol w:w="1766"/>
              <w:gridCol w:w="1767"/>
              <w:gridCol w:w="1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9" w:type="dxa"/>
                  <w:vAlign w:val="center"/>
                </w:tcPr>
                <w:p>
                  <w:pPr>
                    <w:jc w:val="center"/>
                    <w:rPr>
                      <w:rFonts w:eastAsia="宋体"/>
                      <w:b/>
                      <w:bCs/>
                      <w:sz w:val="21"/>
                      <w:szCs w:val="21"/>
                    </w:rPr>
                  </w:pPr>
                  <w:r>
                    <w:rPr>
                      <w:rFonts w:hint="eastAsia" w:eastAsia="宋体"/>
                      <w:b/>
                      <w:bCs/>
                      <w:sz w:val="21"/>
                      <w:szCs w:val="21"/>
                    </w:rPr>
                    <w:t>污染物</w:t>
                  </w:r>
                </w:p>
              </w:tc>
              <w:tc>
                <w:tcPr>
                  <w:tcW w:w="1832" w:type="dxa"/>
                  <w:vAlign w:val="center"/>
                </w:tcPr>
                <w:p>
                  <w:pPr>
                    <w:jc w:val="center"/>
                    <w:rPr>
                      <w:rFonts w:eastAsia="宋体"/>
                      <w:b/>
                      <w:bCs/>
                      <w:sz w:val="21"/>
                      <w:szCs w:val="21"/>
                    </w:rPr>
                  </w:pPr>
                  <w:r>
                    <w:rPr>
                      <w:rFonts w:hint="eastAsia" w:eastAsia="宋体"/>
                      <w:b/>
                      <w:bCs/>
                      <w:sz w:val="21"/>
                      <w:szCs w:val="21"/>
                    </w:rPr>
                    <w:t>CO</w:t>
                  </w:r>
                </w:p>
              </w:tc>
              <w:tc>
                <w:tcPr>
                  <w:tcW w:w="1833" w:type="dxa"/>
                  <w:vAlign w:val="center"/>
                </w:tcPr>
                <w:p>
                  <w:pPr>
                    <w:jc w:val="center"/>
                    <w:rPr>
                      <w:rFonts w:eastAsia="宋体"/>
                      <w:b/>
                      <w:bCs/>
                      <w:sz w:val="21"/>
                      <w:szCs w:val="21"/>
                    </w:rPr>
                  </w:pPr>
                  <w:r>
                    <w:rPr>
                      <w:rFonts w:hint="eastAsia" w:eastAsia="宋体"/>
                      <w:b/>
                      <w:bCs/>
                      <w:sz w:val="21"/>
                      <w:szCs w:val="21"/>
                    </w:rPr>
                    <w:t>HC</w:t>
                  </w:r>
                </w:p>
              </w:tc>
              <w:tc>
                <w:tcPr>
                  <w:tcW w:w="1833" w:type="dxa"/>
                  <w:vAlign w:val="center"/>
                </w:tcPr>
                <w:p>
                  <w:pPr>
                    <w:jc w:val="center"/>
                    <w:rPr>
                      <w:rFonts w:eastAsia="宋体"/>
                      <w:b/>
                      <w:bCs/>
                      <w:sz w:val="21"/>
                      <w:szCs w:val="21"/>
                    </w:rPr>
                  </w:pPr>
                  <w:r>
                    <w:rPr>
                      <w:rFonts w:hint="eastAsia" w:eastAsia="宋体"/>
                      <w:b/>
                      <w:bCs/>
                      <w:sz w:val="21"/>
                      <w:szCs w:val="21"/>
                    </w:rPr>
                    <w:t>NO</w:t>
                  </w:r>
                  <w:r>
                    <w:rPr>
                      <w:rFonts w:hint="eastAsia" w:eastAsia="宋体"/>
                      <w:b/>
                      <w:bCs/>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9" w:type="dxa"/>
                  <w:vAlign w:val="center"/>
                </w:tcPr>
                <w:p>
                  <w:pPr>
                    <w:pStyle w:val="76"/>
                    <w:spacing w:line="240" w:lineRule="auto"/>
                    <w:rPr>
                      <w:rFonts w:eastAsia="宋体"/>
                      <w:sz w:val="21"/>
                      <w:szCs w:val="21"/>
                    </w:rPr>
                  </w:pPr>
                  <w:r>
                    <w:rPr>
                      <w:rFonts w:hint="eastAsia" w:eastAsia="宋体"/>
                      <w:sz w:val="21"/>
                      <w:szCs w:val="21"/>
                    </w:rPr>
                    <w:t>容积与质量换算系数</w:t>
                  </w:r>
                </w:p>
              </w:tc>
              <w:tc>
                <w:tcPr>
                  <w:tcW w:w="1832" w:type="dxa"/>
                  <w:vAlign w:val="center"/>
                </w:tcPr>
                <w:p>
                  <w:pPr>
                    <w:jc w:val="center"/>
                    <w:rPr>
                      <w:rFonts w:eastAsia="宋体"/>
                      <w:sz w:val="21"/>
                      <w:szCs w:val="21"/>
                    </w:rPr>
                  </w:pPr>
                  <w:r>
                    <w:rPr>
                      <w:rFonts w:hint="eastAsia" w:eastAsia="宋体"/>
                      <w:sz w:val="21"/>
                      <w:szCs w:val="21"/>
                    </w:rPr>
                    <w:t>1.25×10</w:t>
                  </w:r>
                  <w:r>
                    <w:rPr>
                      <w:rFonts w:hint="eastAsia" w:eastAsia="宋体"/>
                      <w:sz w:val="21"/>
                      <w:szCs w:val="21"/>
                      <w:vertAlign w:val="superscript"/>
                    </w:rPr>
                    <w:t>-6</w:t>
                  </w:r>
                </w:p>
              </w:tc>
              <w:tc>
                <w:tcPr>
                  <w:tcW w:w="1833" w:type="dxa"/>
                  <w:vAlign w:val="center"/>
                </w:tcPr>
                <w:p>
                  <w:pPr>
                    <w:jc w:val="center"/>
                    <w:rPr>
                      <w:rFonts w:eastAsia="宋体"/>
                      <w:sz w:val="21"/>
                      <w:szCs w:val="21"/>
                    </w:rPr>
                  </w:pPr>
                  <w:r>
                    <w:rPr>
                      <w:rFonts w:hint="eastAsia" w:eastAsia="宋体"/>
                      <w:sz w:val="21"/>
                      <w:szCs w:val="21"/>
                    </w:rPr>
                    <w:t>0.71×10</w:t>
                  </w:r>
                  <w:r>
                    <w:rPr>
                      <w:rFonts w:hint="eastAsia" w:eastAsia="宋体"/>
                      <w:sz w:val="21"/>
                      <w:szCs w:val="21"/>
                      <w:vertAlign w:val="superscript"/>
                    </w:rPr>
                    <w:t>-6</w:t>
                  </w:r>
                </w:p>
              </w:tc>
              <w:tc>
                <w:tcPr>
                  <w:tcW w:w="1833" w:type="dxa"/>
                  <w:vAlign w:val="center"/>
                </w:tcPr>
                <w:p>
                  <w:pPr>
                    <w:jc w:val="center"/>
                    <w:rPr>
                      <w:rFonts w:eastAsia="宋体"/>
                      <w:sz w:val="21"/>
                      <w:szCs w:val="21"/>
                    </w:rPr>
                  </w:pPr>
                  <w:r>
                    <w:rPr>
                      <w:rFonts w:hint="eastAsia" w:eastAsia="宋体"/>
                      <w:sz w:val="21"/>
                      <w:szCs w:val="21"/>
                    </w:rPr>
                    <w:t>2.05×10</w:t>
                  </w:r>
                  <w:r>
                    <w:rPr>
                      <w:rFonts w:hint="eastAsia" w:eastAsia="宋体"/>
                      <w:sz w:val="21"/>
                      <w:szCs w:val="21"/>
                      <w:vertAlign w:val="superscript"/>
                    </w:rPr>
                    <w:t>-6</w:t>
                  </w:r>
                </w:p>
              </w:tc>
            </w:tr>
          </w:tbl>
          <w:p>
            <w:pPr>
              <w:ind w:firstLine="480" w:firstLineChars="200"/>
              <w:rPr>
                <w:rFonts w:eastAsia="宋体"/>
              </w:rPr>
            </w:pPr>
            <w:r>
              <w:rPr>
                <w:rFonts w:hint="eastAsia" w:eastAsia="宋体"/>
              </w:rPr>
              <w:t>汽车废气排放量计算说明</w:t>
            </w:r>
          </w:p>
          <w:p>
            <w:pPr>
              <w:ind w:firstLine="482"/>
              <w:rPr>
                <w:rFonts w:eastAsia="宋体"/>
              </w:rPr>
            </w:pPr>
            <w:r>
              <w:rPr>
                <w:rFonts w:hint="eastAsia" w:eastAsia="宋体"/>
              </w:rPr>
              <w:t>a、汽车运行状况及时间</w:t>
            </w:r>
          </w:p>
          <w:p>
            <w:pPr>
              <w:ind w:firstLine="482"/>
              <w:rPr>
                <w:rFonts w:eastAsia="宋体"/>
              </w:rPr>
            </w:pPr>
            <w:r>
              <w:rPr>
                <w:rFonts w:hint="eastAsia" w:eastAsia="宋体"/>
              </w:rPr>
              <w:t>汽车在校园内的废气排放量与车流量直接相关，本环评取最不利条件，即校园内停车位处于泊车满负荷状况时的汽车尾气排放量。在最不利条件（满负荷状况时）下，进出校园停车位的最大小时车辆为228辆/小时。车辆集中进出时间按3h/d计，停车位开放天数为全年</w:t>
            </w:r>
            <w:r>
              <w:rPr>
                <w:rFonts w:eastAsia="宋体"/>
              </w:rPr>
              <w:t>210</w:t>
            </w:r>
            <w:r>
              <w:rPr>
                <w:rFonts w:hint="eastAsia" w:eastAsia="宋体"/>
              </w:rPr>
              <w:t>d。</w:t>
            </w:r>
          </w:p>
          <w:p>
            <w:pPr>
              <w:ind w:firstLine="482"/>
              <w:rPr>
                <w:rFonts w:eastAsia="宋体"/>
              </w:rPr>
            </w:pPr>
            <w:r>
              <w:rPr>
                <w:rFonts w:hint="eastAsia" w:eastAsia="宋体"/>
              </w:rPr>
              <w:t>b、耗油量计算</w:t>
            </w:r>
          </w:p>
          <w:p>
            <w:pPr>
              <w:ind w:firstLine="480" w:firstLineChars="200"/>
              <w:rPr>
                <w:rFonts w:eastAsia="宋体"/>
              </w:rPr>
            </w:pPr>
            <w:r>
              <w:rPr>
                <w:rFonts w:hint="eastAsia" w:eastAsia="宋体"/>
              </w:rPr>
              <w:t>一般汽车出入车位的行驶速度要求不大于5km/h；从汽车停在泊位至关闭发动机一般在1s-3s，平均约2s；而汽车从泊位启动至出车一般在3s-3min，平均约1min。，车辆在校园内行驶时耗油量约为0.012kg/min（耗油量按0.017L</w:t>
            </w:r>
            <w:r>
              <w:rPr>
                <w:rFonts w:eastAsia="宋体"/>
              </w:rPr>
              <w:t>/min</w:t>
            </w:r>
            <w:r>
              <w:rPr>
                <w:rFonts w:hint="eastAsia" w:eastAsia="宋体"/>
              </w:rPr>
              <w:t>计算，空燃比取12）。</w:t>
            </w:r>
          </w:p>
          <w:p>
            <w:pPr>
              <w:ind w:firstLine="570"/>
              <w:rPr>
                <w:rFonts w:eastAsia="宋体"/>
              </w:rPr>
            </w:pPr>
            <w:r>
              <w:rPr>
                <w:rFonts w:hint="eastAsia" w:eastAsia="宋体"/>
              </w:rPr>
              <w:t>②汽车废气污染物排放源强</w:t>
            </w:r>
          </w:p>
          <w:p>
            <w:pPr>
              <w:ind w:firstLine="570"/>
              <w:rPr>
                <w:rFonts w:eastAsia="宋体"/>
              </w:rPr>
            </w:pPr>
            <w:r>
              <w:rPr>
                <w:rFonts w:hint="eastAsia" w:eastAsia="宋体"/>
              </w:rPr>
              <w:t>根据上述有关参数和计算公式，计算汽车尾气的排放情况见表4-3。</w:t>
            </w:r>
          </w:p>
          <w:p>
            <w:pPr>
              <w:spacing w:before="156" w:beforeLines="50" w:line="240" w:lineRule="auto"/>
              <w:jc w:val="center"/>
              <w:rPr>
                <w:rFonts w:eastAsia="宋体"/>
                <w:sz w:val="21"/>
                <w:szCs w:val="21"/>
              </w:rPr>
            </w:pPr>
            <w:r>
              <w:rPr>
                <w:rFonts w:hint="eastAsia" w:eastAsia="宋体"/>
                <w:b/>
                <w:bCs/>
                <w:sz w:val="21"/>
                <w:szCs w:val="21"/>
              </w:rPr>
              <w:t>表4-3汽车尾气排放源强</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4"/>
              <w:gridCol w:w="915"/>
              <w:gridCol w:w="917"/>
              <w:gridCol w:w="926"/>
              <w:gridCol w:w="924"/>
              <w:gridCol w:w="916"/>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182" w:type="dxa"/>
                  <w:vMerge w:val="restart"/>
                  <w:tcBorders>
                    <w:tl2br w:val="single" w:color="auto" w:sz="4" w:space="0"/>
                  </w:tcBorders>
                  <w:vAlign w:val="center"/>
                </w:tcPr>
                <w:p>
                  <w:pPr>
                    <w:pStyle w:val="76"/>
                    <w:spacing w:line="240" w:lineRule="auto"/>
                    <w:jc w:val="right"/>
                    <w:rPr>
                      <w:rFonts w:eastAsia="宋体"/>
                      <w:b/>
                      <w:bCs/>
                      <w:sz w:val="21"/>
                      <w:szCs w:val="21"/>
                    </w:rPr>
                  </w:pPr>
                  <w:r>
                    <w:rPr>
                      <w:rFonts w:eastAsia="宋体"/>
                      <w:b/>
                      <w:bCs/>
                      <w:sz w:val="21"/>
                      <w:szCs w:val="21"/>
                    </w:rPr>
                    <w:t>指标</w:t>
                  </w:r>
                </w:p>
                <w:p>
                  <w:pPr>
                    <w:pStyle w:val="76"/>
                    <w:spacing w:line="240" w:lineRule="auto"/>
                    <w:jc w:val="both"/>
                    <w:rPr>
                      <w:rFonts w:eastAsia="宋体"/>
                      <w:b/>
                      <w:bCs/>
                      <w:sz w:val="21"/>
                      <w:szCs w:val="21"/>
                    </w:rPr>
                  </w:pPr>
                  <w:r>
                    <w:rPr>
                      <w:rFonts w:eastAsia="宋体"/>
                      <w:b/>
                      <w:bCs/>
                      <w:sz w:val="21"/>
                      <w:szCs w:val="21"/>
                    </w:rPr>
                    <w:t>源强</w:t>
                  </w:r>
                </w:p>
              </w:tc>
              <w:tc>
                <w:tcPr>
                  <w:tcW w:w="1866" w:type="dxa"/>
                  <w:gridSpan w:val="2"/>
                  <w:vAlign w:val="center"/>
                </w:tcPr>
                <w:p>
                  <w:pPr>
                    <w:spacing w:line="240" w:lineRule="auto"/>
                    <w:jc w:val="center"/>
                    <w:rPr>
                      <w:rFonts w:eastAsia="宋体"/>
                      <w:b/>
                      <w:bCs/>
                      <w:sz w:val="21"/>
                      <w:szCs w:val="21"/>
                    </w:rPr>
                  </w:pPr>
                  <w:r>
                    <w:rPr>
                      <w:rFonts w:eastAsia="宋体"/>
                      <w:b/>
                      <w:bCs/>
                      <w:sz w:val="21"/>
                      <w:szCs w:val="21"/>
                    </w:rPr>
                    <w:t>CO</w:t>
                  </w:r>
                </w:p>
              </w:tc>
              <w:tc>
                <w:tcPr>
                  <w:tcW w:w="1886" w:type="dxa"/>
                  <w:gridSpan w:val="2"/>
                  <w:vAlign w:val="center"/>
                </w:tcPr>
                <w:p>
                  <w:pPr>
                    <w:spacing w:line="240" w:lineRule="auto"/>
                    <w:jc w:val="center"/>
                    <w:rPr>
                      <w:rFonts w:eastAsia="宋体"/>
                      <w:b/>
                      <w:bCs/>
                      <w:sz w:val="21"/>
                      <w:szCs w:val="21"/>
                    </w:rPr>
                  </w:pPr>
                  <w:r>
                    <w:rPr>
                      <w:rFonts w:eastAsia="宋体"/>
                      <w:b/>
                      <w:bCs/>
                      <w:sz w:val="21"/>
                      <w:szCs w:val="21"/>
                    </w:rPr>
                    <w:t>HC</w:t>
                  </w:r>
                </w:p>
              </w:tc>
              <w:tc>
                <w:tcPr>
                  <w:tcW w:w="1867" w:type="dxa"/>
                  <w:gridSpan w:val="2"/>
                  <w:vAlign w:val="center"/>
                </w:tcPr>
                <w:p>
                  <w:pPr>
                    <w:spacing w:line="240" w:lineRule="auto"/>
                    <w:jc w:val="center"/>
                    <w:rPr>
                      <w:rFonts w:eastAsia="宋体"/>
                      <w:b/>
                      <w:bCs/>
                      <w:sz w:val="21"/>
                      <w:szCs w:val="21"/>
                    </w:rPr>
                  </w:pPr>
                  <w:r>
                    <w:rPr>
                      <w:rFonts w:eastAsia="宋体"/>
                      <w:b/>
                      <w:bCs/>
                      <w:sz w:val="21"/>
                      <w:szCs w:val="21"/>
                    </w:rPr>
                    <w:t>NO</w:t>
                  </w:r>
                  <w:r>
                    <w:rPr>
                      <w:rFonts w:eastAsia="宋体"/>
                      <w:b/>
                      <w:bCs/>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182" w:type="dxa"/>
                  <w:vMerge w:val="continue"/>
                  <w:tcBorders>
                    <w:tl2br w:val="single" w:color="auto" w:sz="4" w:space="0"/>
                  </w:tcBorders>
                  <w:vAlign w:val="center"/>
                </w:tcPr>
                <w:p>
                  <w:pPr>
                    <w:spacing w:line="240" w:lineRule="auto"/>
                    <w:jc w:val="center"/>
                    <w:rPr>
                      <w:rFonts w:eastAsia="宋体"/>
                      <w:b/>
                      <w:bCs/>
                      <w:sz w:val="21"/>
                      <w:szCs w:val="21"/>
                    </w:rPr>
                  </w:pPr>
                </w:p>
              </w:tc>
              <w:tc>
                <w:tcPr>
                  <w:tcW w:w="932" w:type="dxa"/>
                  <w:vAlign w:val="center"/>
                </w:tcPr>
                <w:p>
                  <w:pPr>
                    <w:spacing w:line="240" w:lineRule="auto"/>
                    <w:jc w:val="center"/>
                    <w:rPr>
                      <w:rFonts w:eastAsia="宋体"/>
                      <w:b/>
                      <w:bCs/>
                      <w:sz w:val="21"/>
                      <w:szCs w:val="21"/>
                    </w:rPr>
                  </w:pPr>
                  <w:r>
                    <w:rPr>
                      <w:rFonts w:eastAsia="宋体"/>
                      <w:b/>
                      <w:bCs/>
                      <w:sz w:val="21"/>
                      <w:szCs w:val="21"/>
                    </w:rPr>
                    <w:t>kg/h</w:t>
                  </w:r>
                </w:p>
              </w:tc>
              <w:tc>
                <w:tcPr>
                  <w:tcW w:w="934" w:type="dxa"/>
                  <w:vAlign w:val="center"/>
                </w:tcPr>
                <w:p>
                  <w:pPr>
                    <w:pStyle w:val="76"/>
                    <w:spacing w:line="240" w:lineRule="auto"/>
                    <w:rPr>
                      <w:rFonts w:eastAsia="宋体"/>
                      <w:b/>
                      <w:bCs/>
                      <w:sz w:val="21"/>
                      <w:szCs w:val="21"/>
                    </w:rPr>
                  </w:pPr>
                  <w:r>
                    <w:rPr>
                      <w:rFonts w:eastAsia="宋体"/>
                      <w:b/>
                      <w:bCs/>
                      <w:sz w:val="21"/>
                      <w:szCs w:val="21"/>
                    </w:rPr>
                    <w:t>t/a</w:t>
                  </w:r>
                </w:p>
              </w:tc>
              <w:tc>
                <w:tcPr>
                  <w:tcW w:w="944" w:type="dxa"/>
                  <w:vAlign w:val="center"/>
                </w:tcPr>
                <w:p>
                  <w:pPr>
                    <w:spacing w:line="240" w:lineRule="auto"/>
                    <w:jc w:val="center"/>
                    <w:rPr>
                      <w:rFonts w:eastAsia="宋体"/>
                      <w:b/>
                      <w:bCs/>
                      <w:sz w:val="21"/>
                      <w:szCs w:val="21"/>
                    </w:rPr>
                  </w:pPr>
                  <w:r>
                    <w:rPr>
                      <w:rFonts w:eastAsia="宋体"/>
                      <w:b/>
                      <w:bCs/>
                      <w:sz w:val="21"/>
                      <w:szCs w:val="21"/>
                    </w:rPr>
                    <w:t>kg/h</w:t>
                  </w:r>
                </w:p>
              </w:tc>
              <w:tc>
                <w:tcPr>
                  <w:tcW w:w="942" w:type="dxa"/>
                  <w:vAlign w:val="center"/>
                </w:tcPr>
                <w:p>
                  <w:pPr>
                    <w:pStyle w:val="76"/>
                    <w:spacing w:line="240" w:lineRule="auto"/>
                    <w:rPr>
                      <w:rFonts w:eastAsia="宋体"/>
                      <w:b/>
                      <w:bCs/>
                      <w:sz w:val="21"/>
                      <w:szCs w:val="21"/>
                    </w:rPr>
                  </w:pPr>
                  <w:r>
                    <w:rPr>
                      <w:rFonts w:eastAsia="宋体"/>
                      <w:b/>
                      <w:bCs/>
                      <w:sz w:val="21"/>
                      <w:szCs w:val="21"/>
                    </w:rPr>
                    <w:t>t/a</w:t>
                  </w:r>
                </w:p>
              </w:tc>
              <w:tc>
                <w:tcPr>
                  <w:tcW w:w="933" w:type="dxa"/>
                  <w:vAlign w:val="center"/>
                </w:tcPr>
                <w:p>
                  <w:pPr>
                    <w:spacing w:line="240" w:lineRule="auto"/>
                    <w:jc w:val="center"/>
                    <w:rPr>
                      <w:rFonts w:eastAsia="宋体"/>
                      <w:b/>
                      <w:bCs/>
                      <w:sz w:val="21"/>
                      <w:szCs w:val="21"/>
                    </w:rPr>
                  </w:pPr>
                  <w:r>
                    <w:rPr>
                      <w:rFonts w:eastAsia="宋体"/>
                      <w:b/>
                      <w:bCs/>
                      <w:sz w:val="21"/>
                      <w:szCs w:val="21"/>
                    </w:rPr>
                    <w:t>kg/h</w:t>
                  </w:r>
                </w:p>
              </w:tc>
              <w:tc>
                <w:tcPr>
                  <w:tcW w:w="934" w:type="dxa"/>
                  <w:vAlign w:val="center"/>
                </w:tcPr>
                <w:p>
                  <w:pPr>
                    <w:pStyle w:val="76"/>
                    <w:spacing w:line="240" w:lineRule="auto"/>
                    <w:rPr>
                      <w:rFonts w:eastAsia="宋体"/>
                      <w:b/>
                      <w:bCs/>
                      <w:sz w:val="21"/>
                      <w:szCs w:val="21"/>
                    </w:rPr>
                  </w:pPr>
                  <w:r>
                    <w:rPr>
                      <w:rFonts w:eastAsia="宋体"/>
                      <w:b/>
                      <w:bCs/>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182" w:type="dxa"/>
                  <w:vAlign w:val="center"/>
                </w:tcPr>
                <w:p>
                  <w:pPr>
                    <w:spacing w:line="240" w:lineRule="auto"/>
                    <w:jc w:val="center"/>
                    <w:rPr>
                      <w:rFonts w:eastAsia="宋体"/>
                      <w:sz w:val="21"/>
                      <w:szCs w:val="21"/>
                    </w:rPr>
                  </w:pPr>
                  <w:bookmarkStart w:id="6" w:name="OLE_LINK2" w:colFirst="0" w:colLast="6"/>
                  <w:bookmarkStart w:id="7" w:name="OLE_LINK4" w:colFirst="1" w:colLast="6"/>
                  <w:bookmarkStart w:id="8" w:name="OLE_LINK3" w:colFirst="0" w:colLast="6"/>
                  <w:bookmarkStart w:id="9" w:name="_Hlk268441556"/>
                  <w:r>
                    <w:rPr>
                      <w:rFonts w:hint="eastAsia" w:eastAsia="宋体"/>
                      <w:sz w:val="21"/>
                      <w:szCs w:val="21"/>
                    </w:rPr>
                    <w:t>汽车</w:t>
                  </w:r>
                  <w:r>
                    <w:rPr>
                      <w:rFonts w:eastAsia="宋体"/>
                      <w:sz w:val="21"/>
                      <w:szCs w:val="21"/>
                    </w:rPr>
                    <w:t>尾气</w:t>
                  </w:r>
                </w:p>
              </w:tc>
              <w:tc>
                <w:tcPr>
                  <w:tcW w:w="932" w:type="dxa"/>
                  <w:vAlign w:val="center"/>
                </w:tcPr>
                <w:p>
                  <w:pPr>
                    <w:spacing w:line="240" w:lineRule="auto"/>
                    <w:jc w:val="center"/>
                    <w:rPr>
                      <w:rFonts w:eastAsia="宋体"/>
                      <w:sz w:val="21"/>
                      <w:szCs w:val="21"/>
                    </w:rPr>
                  </w:pPr>
                  <w:r>
                    <w:rPr>
                      <w:rFonts w:hint="eastAsia" w:eastAsia="宋体"/>
                      <w:sz w:val="21"/>
                      <w:szCs w:val="21"/>
                    </w:rPr>
                    <w:t>1</w:t>
                  </w:r>
                  <w:r>
                    <w:rPr>
                      <w:rFonts w:eastAsia="宋体"/>
                      <w:sz w:val="21"/>
                      <w:szCs w:val="21"/>
                    </w:rPr>
                    <w:t>.38</w:t>
                  </w:r>
                </w:p>
              </w:tc>
              <w:tc>
                <w:tcPr>
                  <w:tcW w:w="934" w:type="dxa"/>
                  <w:vAlign w:val="center"/>
                </w:tcPr>
                <w:p>
                  <w:pPr>
                    <w:spacing w:line="240" w:lineRule="auto"/>
                    <w:jc w:val="center"/>
                    <w:rPr>
                      <w:rFonts w:eastAsia="宋体"/>
                      <w:sz w:val="21"/>
                      <w:szCs w:val="21"/>
                    </w:rPr>
                  </w:pPr>
                  <w:r>
                    <w:rPr>
                      <w:rFonts w:hint="eastAsia" w:eastAsia="宋体"/>
                      <w:sz w:val="21"/>
                      <w:szCs w:val="21"/>
                    </w:rPr>
                    <w:t>0</w:t>
                  </w:r>
                  <w:r>
                    <w:rPr>
                      <w:rFonts w:eastAsia="宋体"/>
                      <w:sz w:val="21"/>
                      <w:szCs w:val="21"/>
                    </w:rPr>
                    <w:t>.87</w:t>
                  </w:r>
                </w:p>
              </w:tc>
              <w:tc>
                <w:tcPr>
                  <w:tcW w:w="944" w:type="dxa"/>
                  <w:vAlign w:val="center"/>
                </w:tcPr>
                <w:p>
                  <w:pPr>
                    <w:spacing w:line="240" w:lineRule="auto"/>
                    <w:jc w:val="center"/>
                    <w:rPr>
                      <w:rFonts w:eastAsia="宋体"/>
                      <w:sz w:val="21"/>
                      <w:szCs w:val="21"/>
                    </w:rPr>
                  </w:pPr>
                  <w:r>
                    <w:rPr>
                      <w:rFonts w:hint="eastAsia" w:eastAsia="宋体"/>
                      <w:sz w:val="21"/>
                      <w:szCs w:val="21"/>
                    </w:rPr>
                    <w:t>0</w:t>
                  </w:r>
                  <w:r>
                    <w:rPr>
                      <w:rFonts w:eastAsia="宋体"/>
                      <w:sz w:val="21"/>
                      <w:szCs w:val="21"/>
                    </w:rPr>
                    <w:t>.02</w:t>
                  </w:r>
                </w:p>
              </w:tc>
              <w:tc>
                <w:tcPr>
                  <w:tcW w:w="942" w:type="dxa"/>
                  <w:vAlign w:val="center"/>
                </w:tcPr>
                <w:p>
                  <w:pPr>
                    <w:spacing w:line="240" w:lineRule="auto"/>
                    <w:jc w:val="center"/>
                    <w:rPr>
                      <w:rFonts w:eastAsia="宋体"/>
                      <w:sz w:val="21"/>
                      <w:szCs w:val="21"/>
                    </w:rPr>
                  </w:pPr>
                  <w:r>
                    <w:rPr>
                      <w:rFonts w:hint="eastAsia" w:eastAsia="宋体"/>
                      <w:sz w:val="21"/>
                      <w:szCs w:val="21"/>
                    </w:rPr>
                    <w:t>0</w:t>
                  </w:r>
                  <w:r>
                    <w:rPr>
                      <w:rFonts w:eastAsia="宋体"/>
                      <w:sz w:val="21"/>
                      <w:szCs w:val="21"/>
                    </w:rPr>
                    <w:t>.01</w:t>
                  </w:r>
                </w:p>
              </w:tc>
              <w:tc>
                <w:tcPr>
                  <w:tcW w:w="933" w:type="dxa"/>
                  <w:vAlign w:val="center"/>
                </w:tcPr>
                <w:p>
                  <w:pPr>
                    <w:spacing w:line="240" w:lineRule="auto"/>
                    <w:jc w:val="center"/>
                    <w:rPr>
                      <w:rFonts w:eastAsia="宋体"/>
                      <w:sz w:val="21"/>
                      <w:szCs w:val="21"/>
                    </w:rPr>
                  </w:pPr>
                  <w:r>
                    <w:rPr>
                      <w:rFonts w:hint="eastAsia" w:eastAsia="宋体"/>
                      <w:sz w:val="21"/>
                      <w:szCs w:val="21"/>
                    </w:rPr>
                    <w:t>0</w:t>
                  </w:r>
                  <w:r>
                    <w:rPr>
                      <w:rFonts w:eastAsia="宋体"/>
                      <w:sz w:val="21"/>
                      <w:szCs w:val="21"/>
                    </w:rPr>
                    <w:t>.03</w:t>
                  </w:r>
                </w:p>
              </w:tc>
              <w:tc>
                <w:tcPr>
                  <w:tcW w:w="934" w:type="dxa"/>
                  <w:vAlign w:val="center"/>
                </w:tcPr>
                <w:p>
                  <w:pPr>
                    <w:spacing w:line="240" w:lineRule="auto"/>
                    <w:jc w:val="center"/>
                    <w:rPr>
                      <w:rFonts w:eastAsia="宋体"/>
                      <w:sz w:val="21"/>
                      <w:szCs w:val="21"/>
                    </w:rPr>
                  </w:pPr>
                  <w:r>
                    <w:rPr>
                      <w:rFonts w:hint="eastAsia" w:eastAsia="宋体"/>
                      <w:sz w:val="21"/>
                      <w:szCs w:val="21"/>
                    </w:rPr>
                    <w:t>0</w:t>
                  </w:r>
                  <w:r>
                    <w:rPr>
                      <w:rFonts w:eastAsia="宋体"/>
                      <w:sz w:val="21"/>
                      <w:szCs w:val="21"/>
                    </w:rPr>
                    <w:t>.02</w:t>
                  </w:r>
                </w:p>
              </w:tc>
            </w:tr>
            <w:bookmarkEnd w:id="6"/>
            <w:bookmarkEnd w:id="7"/>
            <w:bookmarkEnd w:id="8"/>
            <w:bookmarkEnd w:id="9"/>
          </w:tbl>
          <w:p>
            <w:pPr>
              <w:autoSpaceDE w:val="0"/>
              <w:autoSpaceDN w:val="0"/>
              <w:adjustRightInd w:val="0"/>
              <w:ind w:firstLine="480" w:firstLineChars="200"/>
              <w:rPr>
                <w:rFonts w:eastAsia="宋体"/>
              </w:rPr>
            </w:pPr>
            <w:r>
              <w:rPr>
                <w:rFonts w:hint="eastAsia" w:eastAsia="宋体"/>
              </w:rPr>
              <w:t>③地下</w:t>
            </w:r>
            <w:r>
              <w:rPr>
                <w:rFonts w:eastAsia="宋体"/>
              </w:rPr>
              <w:t>车库废气排放浓度计算</w:t>
            </w:r>
          </w:p>
          <w:p>
            <w:pPr>
              <w:autoSpaceDE w:val="0"/>
              <w:autoSpaceDN w:val="0"/>
              <w:adjustRightInd w:val="0"/>
              <w:ind w:firstLine="480" w:firstLineChars="200"/>
              <w:rPr>
                <w:rFonts w:eastAsia="宋体"/>
              </w:rPr>
            </w:pPr>
            <w:r>
              <w:rPr>
                <w:rFonts w:eastAsia="宋体"/>
              </w:rPr>
              <w:t>按停车库体积及单位时间换气次数，计算单位时间废气排放量，再按照污染排放速率，计算停车库的污染排放浓度。计算方法如下：</w:t>
            </w:r>
          </w:p>
          <w:p>
            <w:pPr>
              <w:autoSpaceDE w:val="0"/>
              <w:autoSpaceDN w:val="0"/>
              <w:adjustRightInd w:val="0"/>
              <w:jc w:val="center"/>
              <w:rPr>
                <w:rFonts w:eastAsia="宋体"/>
              </w:rPr>
            </w:pPr>
            <w:r>
              <w:rPr>
                <w:rFonts w:eastAsia="宋体"/>
                <w:lang w:val="zh-CN"/>
              </w:rPr>
              <w:object>
                <v:shape id="_x0000_i1026" o:spt="75" type="#_x0000_t75" style="height:12.65pt;width:39.15pt;" o:ole="t" filled="f" o:preferrelative="t" stroked="f" coordsize="21600,21600">
                  <v:path/>
                  <v:fill on="f" focussize="0,0"/>
                  <v:stroke on="f" joinstyle="miter"/>
                  <v:imagedata r:id="rId15" o:title=""/>
                  <o:lock v:ext="edit" aspectratio="t"/>
                  <w10:wrap type="none"/>
                  <w10:anchorlock/>
                </v:shape>
                <o:OLEObject Type="Embed" ProgID="Equation.3" ShapeID="_x0000_i1026" DrawAspect="Content" ObjectID="_1468075726" r:id="rId14">
                  <o:LockedField>false</o:LockedField>
                </o:OLEObject>
              </w:object>
            </w:r>
          </w:p>
          <w:p>
            <w:pPr>
              <w:autoSpaceDE w:val="0"/>
              <w:autoSpaceDN w:val="0"/>
              <w:adjustRightInd w:val="0"/>
              <w:jc w:val="center"/>
              <w:rPr>
                <w:rFonts w:eastAsia="宋体"/>
                <w:lang w:val="zh-CN"/>
              </w:rPr>
            </w:pPr>
            <w:r>
              <w:rPr>
                <w:rFonts w:eastAsia="宋体"/>
                <w:lang w:val="zh-CN"/>
              </w:rPr>
              <w:object>
                <v:shape id="_x0000_i1027" o:spt="75" type="#_x0000_t75" style="height:32.85pt;width:71.4pt;" o:ole="t" filled="f" o:preferrelative="t" stroked="f" coordsize="21600,21600">
                  <v:path/>
                  <v:fill on="f" focussize="0,0"/>
                  <v:stroke on="f" joinstyle="miter"/>
                  <v:imagedata r:id="rId17" o:title=""/>
                  <o:lock v:ext="edit" aspectratio="t"/>
                  <w10:wrap type="none"/>
                  <w10:anchorlock/>
                </v:shape>
                <o:OLEObject Type="Embed" ProgID="Equation.3" ShapeID="_x0000_i1027" DrawAspect="Content" ObjectID="_1468075727" r:id="rId16">
                  <o:LockedField>false</o:LockedField>
                </o:OLEObject>
              </w:object>
            </w:r>
          </w:p>
          <w:p>
            <w:pPr>
              <w:pStyle w:val="14"/>
              <w:spacing w:after="0"/>
              <w:ind w:left="0" w:firstLine="480" w:firstLineChars="200"/>
              <w:rPr>
                <w:rFonts w:eastAsia="宋体"/>
              </w:rPr>
            </w:pPr>
            <w:r>
              <w:rPr>
                <w:rFonts w:eastAsia="宋体"/>
              </w:rPr>
              <w:t>式中  V—停车库体积，</w:t>
            </w:r>
            <w:r>
              <w:rPr>
                <w:rFonts w:hint="eastAsia" w:eastAsia="宋体"/>
              </w:rPr>
              <w:t>m</w:t>
            </w:r>
            <w:r>
              <w:rPr>
                <w:rFonts w:hint="eastAsia" w:eastAsia="宋体"/>
                <w:vertAlign w:val="superscript"/>
              </w:rPr>
              <w:t>3</w:t>
            </w:r>
            <w:r>
              <w:rPr>
                <w:rFonts w:eastAsia="宋体"/>
              </w:rPr>
              <w:t>；</w:t>
            </w:r>
          </w:p>
          <w:p>
            <w:pPr>
              <w:autoSpaceDE w:val="0"/>
              <w:autoSpaceDN w:val="0"/>
              <w:ind w:firstLine="1080" w:firstLineChars="450"/>
              <w:rPr>
                <w:rFonts w:eastAsia="宋体"/>
              </w:rPr>
            </w:pPr>
            <w:r>
              <w:rPr>
                <w:rFonts w:eastAsia="宋体"/>
              </w:rPr>
              <w:t>n—单位时间换气次数；</w:t>
            </w:r>
          </w:p>
          <w:p>
            <w:pPr>
              <w:autoSpaceDE w:val="0"/>
              <w:autoSpaceDN w:val="0"/>
              <w:ind w:firstLine="1080" w:firstLineChars="450"/>
              <w:rPr>
                <w:rFonts w:eastAsia="宋体"/>
              </w:rPr>
            </w:pPr>
            <w:r>
              <w:rPr>
                <w:rFonts w:eastAsia="宋体"/>
              </w:rPr>
              <w:t>C—污染物排放浓度，mg/</w:t>
            </w:r>
            <w:r>
              <w:rPr>
                <w:rFonts w:hint="eastAsia" w:eastAsia="宋体"/>
              </w:rPr>
              <w:t>m</w:t>
            </w:r>
            <w:r>
              <w:rPr>
                <w:rFonts w:hint="eastAsia" w:eastAsia="宋体"/>
                <w:vertAlign w:val="superscript"/>
              </w:rPr>
              <w:t>3</w:t>
            </w:r>
            <w:r>
              <w:rPr>
                <w:rFonts w:eastAsia="宋体"/>
              </w:rPr>
              <w:t>；</w:t>
            </w:r>
          </w:p>
          <w:p>
            <w:pPr>
              <w:autoSpaceDE w:val="0"/>
              <w:autoSpaceDN w:val="0"/>
              <w:ind w:firstLine="1080" w:firstLineChars="450"/>
              <w:rPr>
                <w:rFonts w:eastAsia="宋体"/>
              </w:rPr>
            </w:pPr>
            <w:r>
              <w:rPr>
                <w:rFonts w:eastAsia="宋体"/>
              </w:rPr>
              <w:t>G—污染物排放速率，kg/h；</w:t>
            </w:r>
          </w:p>
          <w:p>
            <w:pPr>
              <w:autoSpaceDE w:val="0"/>
              <w:autoSpaceDN w:val="0"/>
              <w:ind w:firstLine="1080" w:firstLineChars="450"/>
              <w:rPr>
                <w:rFonts w:eastAsia="宋体"/>
              </w:rPr>
            </w:pPr>
            <w:r>
              <w:rPr>
                <w:rFonts w:eastAsia="宋体"/>
              </w:rPr>
              <w:t>Q</w:t>
            </w:r>
            <w:r>
              <w:rPr>
                <w:rFonts w:eastAsia="宋体"/>
                <w:lang w:val="zh-CN"/>
              </w:rPr>
              <w:t>—废气排放量，</w:t>
            </w:r>
            <w:r>
              <w:rPr>
                <w:rFonts w:hint="eastAsia" w:eastAsia="宋体"/>
              </w:rPr>
              <w:t>m</w:t>
            </w:r>
            <w:r>
              <w:rPr>
                <w:rFonts w:hint="eastAsia" w:eastAsia="宋体"/>
                <w:vertAlign w:val="superscript"/>
              </w:rPr>
              <w:t>3</w:t>
            </w:r>
            <w:r>
              <w:rPr>
                <w:rFonts w:eastAsia="宋体"/>
              </w:rPr>
              <w:t>/h</w:t>
            </w:r>
            <w:r>
              <w:rPr>
                <w:rFonts w:eastAsia="宋体"/>
                <w:lang w:val="zh-CN"/>
              </w:rPr>
              <w:t>。</w:t>
            </w:r>
          </w:p>
          <w:p>
            <w:pPr>
              <w:autoSpaceDE w:val="0"/>
              <w:autoSpaceDN w:val="0"/>
              <w:ind w:firstLine="480" w:firstLineChars="200"/>
              <w:rPr>
                <w:rFonts w:eastAsia="宋体"/>
              </w:rPr>
            </w:pPr>
            <w:r>
              <w:rPr>
                <w:rFonts w:eastAsia="宋体"/>
              </w:rPr>
              <w:t>根据设计，</w:t>
            </w:r>
            <w:r>
              <w:rPr>
                <w:rFonts w:hint="eastAsia" w:eastAsia="宋体"/>
              </w:rPr>
              <w:t>汽车库的排风（排烟）风机箱均放在风机房内，采用CO浓度监测系统控制风机的运行状态，节约能源。风机箱的进出口采用软管连接，通风总管设消声静压箱，风机房内作消声隔音措施。废气均由竖井引至地面。</w:t>
            </w:r>
            <w:r>
              <w:rPr>
                <w:rFonts w:eastAsia="宋体"/>
              </w:rPr>
              <w:t>根据车库通风量，</w:t>
            </w:r>
            <w:r>
              <w:rPr>
                <w:rFonts w:hint="eastAsia" w:eastAsia="宋体"/>
              </w:rPr>
              <w:t>设定换气次数为</w:t>
            </w:r>
            <w:r>
              <w:rPr>
                <w:rFonts w:eastAsia="宋体"/>
              </w:rPr>
              <w:t>6</w:t>
            </w:r>
            <w:r>
              <w:rPr>
                <w:rFonts w:hint="eastAsia" w:eastAsia="宋体"/>
              </w:rPr>
              <w:t>次，</w:t>
            </w:r>
            <w:r>
              <w:rPr>
                <w:rFonts w:eastAsia="宋体"/>
              </w:rPr>
              <w:t>结合表</w:t>
            </w:r>
            <w:r>
              <w:rPr>
                <w:rFonts w:hint="eastAsia" w:eastAsia="宋体"/>
              </w:rPr>
              <w:t>4</w:t>
            </w:r>
            <w:r>
              <w:rPr>
                <w:rFonts w:eastAsia="宋体"/>
              </w:rPr>
              <w:t>-3</w:t>
            </w:r>
            <w:r>
              <w:rPr>
                <w:rFonts w:hint="eastAsia" w:eastAsia="宋体"/>
              </w:rPr>
              <w:t>计算</w:t>
            </w:r>
            <w:r>
              <w:rPr>
                <w:rFonts w:eastAsia="宋体"/>
              </w:rPr>
              <w:t>得到的汽车尾气排放源强，可计算得出地下车库各污染物的排放浓度（按时最大排放量计算），各地下车库的排放浓度详见表</w:t>
            </w:r>
            <w:r>
              <w:rPr>
                <w:rFonts w:hint="eastAsia" w:eastAsia="宋体"/>
              </w:rPr>
              <w:t>4</w:t>
            </w:r>
            <w:r>
              <w:rPr>
                <w:rFonts w:eastAsia="宋体"/>
              </w:rPr>
              <w:t>-</w:t>
            </w:r>
            <w:r>
              <w:rPr>
                <w:rFonts w:hint="eastAsia" w:eastAsia="宋体"/>
              </w:rPr>
              <w:t>4。</w:t>
            </w:r>
          </w:p>
          <w:p>
            <w:pPr>
              <w:autoSpaceDE w:val="0"/>
              <w:autoSpaceDN w:val="0"/>
              <w:adjustRightInd w:val="0"/>
              <w:spacing w:before="156" w:beforeLines="50" w:line="240" w:lineRule="auto"/>
              <w:jc w:val="center"/>
              <w:rPr>
                <w:rFonts w:eastAsia="宋体"/>
                <w:sz w:val="21"/>
                <w:szCs w:val="21"/>
                <w:lang w:val="zh-CN"/>
              </w:rPr>
            </w:pPr>
            <w:r>
              <w:rPr>
                <w:rFonts w:eastAsia="宋体"/>
                <w:b/>
                <w:bCs/>
                <w:sz w:val="21"/>
                <w:szCs w:val="21"/>
                <w:lang w:val="zh-CN"/>
              </w:rPr>
              <w:t>表</w:t>
            </w:r>
            <w:r>
              <w:rPr>
                <w:rFonts w:hint="eastAsia" w:eastAsia="宋体"/>
                <w:b/>
                <w:bCs/>
                <w:sz w:val="21"/>
                <w:szCs w:val="21"/>
              </w:rPr>
              <w:t>4</w:t>
            </w:r>
            <w:r>
              <w:rPr>
                <w:rFonts w:eastAsia="宋体"/>
                <w:b/>
                <w:bCs/>
                <w:sz w:val="21"/>
                <w:szCs w:val="21"/>
              </w:rPr>
              <w:t>-</w:t>
            </w:r>
            <w:r>
              <w:rPr>
                <w:rFonts w:hint="eastAsia" w:eastAsia="宋体"/>
                <w:b/>
                <w:bCs/>
                <w:sz w:val="21"/>
                <w:szCs w:val="21"/>
              </w:rPr>
              <w:t>4</w:t>
            </w:r>
            <w:r>
              <w:rPr>
                <w:rFonts w:eastAsia="宋体"/>
                <w:b/>
                <w:bCs/>
                <w:sz w:val="21"/>
                <w:szCs w:val="21"/>
              </w:rPr>
              <w:t xml:space="preserve"> </w:t>
            </w:r>
            <w:r>
              <w:rPr>
                <w:rFonts w:eastAsia="宋体"/>
                <w:b/>
                <w:bCs/>
                <w:sz w:val="21"/>
                <w:szCs w:val="21"/>
                <w:lang w:val="zh-CN"/>
              </w:rPr>
              <w:t>地下车库的排放速率及排放浓度</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890"/>
              <w:gridCol w:w="1190"/>
              <w:gridCol w:w="1282"/>
              <w:gridCol w:w="1276"/>
              <w:gridCol w:w="744"/>
              <w:gridCol w:w="744"/>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5" w:type="dxa"/>
                  <w:vAlign w:val="center"/>
                </w:tcPr>
                <w:p>
                  <w:pPr>
                    <w:autoSpaceDE w:val="0"/>
                    <w:autoSpaceDN w:val="0"/>
                    <w:adjustRightInd w:val="0"/>
                    <w:spacing w:line="240" w:lineRule="auto"/>
                    <w:rPr>
                      <w:rFonts w:eastAsia="宋体"/>
                      <w:b/>
                      <w:bCs/>
                      <w:sz w:val="21"/>
                      <w:szCs w:val="21"/>
                    </w:rPr>
                  </w:pPr>
                  <w:r>
                    <w:rPr>
                      <w:rFonts w:eastAsia="宋体"/>
                      <w:b/>
                      <w:bCs/>
                      <w:sz w:val="21"/>
                      <w:szCs w:val="21"/>
                    </w:rPr>
                    <w:t>名称</w:t>
                  </w:r>
                </w:p>
              </w:tc>
              <w:tc>
                <w:tcPr>
                  <w:tcW w:w="890" w:type="dxa"/>
                  <w:vAlign w:val="center"/>
                </w:tcPr>
                <w:p>
                  <w:pPr>
                    <w:autoSpaceDE w:val="0"/>
                    <w:autoSpaceDN w:val="0"/>
                    <w:adjustRightInd w:val="0"/>
                    <w:spacing w:line="240" w:lineRule="auto"/>
                    <w:jc w:val="center"/>
                    <w:rPr>
                      <w:rFonts w:eastAsia="宋体"/>
                      <w:b/>
                      <w:bCs/>
                      <w:sz w:val="21"/>
                      <w:szCs w:val="21"/>
                    </w:rPr>
                  </w:pPr>
                  <w:r>
                    <w:rPr>
                      <w:rFonts w:eastAsia="宋体"/>
                      <w:b/>
                      <w:bCs/>
                      <w:sz w:val="21"/>
                      <w:szCs w:val="21"/>
                    </w:rPr>
                    <w:t>停车位（个）</w:t>
                  </w:r>
                </w:p>
              </w:tc>
              <w:tc>
                <w:tcPr>
                  <w:tcW w:w="1190" w:type="dxa"/>
                  <w:vAlign w:val="center"/>
                </w:tcPr>
                <w:p>
                  <w:pPr>
                    <w:autoSpaceDE w:val="0"/>
                    <w:autoSpaceDN w:val="0"/>
                    <w:adjustRightInd w:val="0"/>
                    <w:spacing w:line="240" w:lineRule="auto"/>
                    <w:jc w:val="center"/>
                    <w:rPr>
                      <w:rFonts w:eastAsia="宋体"/>
                      <w:b/>
                      <w:bCs/>
                      <w:sz w:val="21"/>
                      <w:szCs w:val="21"/>
                    </w:rPr>
                  </w:pPr>
                  <w:r>
                    <w:rPr>
                      <w:rFonts w:eastAsia="宋体"/>
                      <w:b/>
                      <w:bCs/>
                      <w:sz w:val="21"/>
                      <w:szCs w:val="21"/>
                    </w:rPr>
                    <w:t>地下车库容积（m</w:t>
                  </w:r>
                  <w:r>
                    <w:rPr>
                      <w:rFonts w:eastAsia="宋体"/>
                      <w:b/>
                      <w:bCs/>
                      <w:sz w:val="21"/>
                      <w:szCs w:val="21"/>
                      <w:vertAlign w:val="superscript"/>
                    </w:rPr>
                    <w:t>3</w:t>
                  </w:r>
                  <w:r>
                    <w:rPr>
                      <w:rFonts w:eastAsia="宋体"/>
                      <w:b/>
                      <w:bCs/>
                      <w:sz w:val="21"/>
                      <w:szCs w:val="21"/>
                    </w:rPr>
                    <w:t>）</w:t>
                  </w:r>
                </w:p>
              </w:tc>
              <w:tc>
                <w:tcPr>
                  <w:tcW w:w="1282" w:type="dxa"/>
                  <w:vAlign w:val="center"/>
                </w:tcPr>
                <w:p>
                  <w:pPr>
                    <w:autoSpaceDE w:val="0"/>
                    <w:autoSpaceDN w:val="0"/>
                    <w:adjustRightInd w:val="0"/>
                    <w:spacing w:line="240" w:lineRule="auto"/>
                    <w:jc w:val="center"/>
                    <w:rPr>
                      <w:rFonts w:eastAsia="宋体"/>
                      <w:b/>
                      <w:bCs/>
                      <w:sz w:val="21"/>
                      <w:szCs w:val="21"/>
                    </w:rPr>
                  </w:pPr>
                  <w:r>
                    <w:rPr>
                      <w:rFonts w:eastAsia="宋体"/>
                      <w:b/>
                      <w:bCs/>
                      <w:sz w:val="21"/>
                      <w:szCs w:val="21"/>
                    </w:rPr>
                    <w:t>总风量（万m</w:t>
                  </w:r>
                  <w:r>
                    <w:rPr>
                      <w:rFonts w:eastAsia="宋体"/>
                      <w:b/>
                      <w:bCs/>
                      <w:sz w:val="21"/>
                      <w:szCs w:val="21"/>
                      <w:vertAlign w:val="superscript"/>
                    </w:rPr>
                    <w:t>3</w:t>
                  </w:r>
                  <w:r>
                    <w:rPr>
                      <w:rFonts w:eastAsia="宋体"/>
                      <w:b/>
                      <w:bCs/>
                      <w:sz w:val="21"/>
                      <w:szCs w:val="21"/>
                    </w:rPr>
                    <w:t>/h）</w:t>
                  </w:r>
                </w:p>
              </w:tc>
              <w:tc>
                <w:tcPr>
                  <w:tcW w:w="1276" w:type="dxa"/>
                  <w:vAlign w:val="center"/>
                </w:tcPr>
                <w:p>
                  <w:pPr>
                    <w:autoSpaceDE w:val="0"/>
                    <w:autoSpaceDN w:val="0"/>
                    <w:adjustRightInd w:val="0"/>
                    <w:spacing w:line="240" w:lineRule="auto"/>
                    <w:jc w:val="center"/>
                    <w:rPr>
                      <w:rFonts w:eastAsia="宋体"/>
                      <w:b/>
                      <w:bCs/>
                      <w:sz w:val="21"/>
                      <w:szCs w:val="21"/>
                    </w:rPr>
                  </w:pPr>
                  <w:r>
                    <w:rPr>
                      <w:rFonts w:eastAsia="宋体"/>
                      <w:b/>
                      <w:bCs/>
                      <w:sz w:val="21"/>
                      <w:szCs w:val="21"/>
                    </w:rPr>
                    <w:t>指标</w:t>
                  </w:r>
                </w:p>
              </w:tc>
              <w:tc>
                <w:tcPr>
                  <w:tcW w:w="744" w:type="dxa"/>
                  <w:vAlign w:val="center"/>
                </w:tcPr>
                <w:p>
                  <w:pPr>
                    <w:autoSpaceDE w:val="0"/>
                    <w:autoSpaceDN w:val="0"/>
                    <w:adjustRightInd w:val="0"/>
                    <w:spacing w:line="240" w:lineRule="auto"/>
                    <w:jc w:val="center"/>
                    <w:rPr>
                      <w:rFonts w:eastAsia="宋体"/>
                      <w:b/>
                      <w:bCs/>
                      <w:sz w:val="21"/>
                      <w:szCs w:val="21"/>
                    </w:rPr>
                  </w:pPr>
                  <w:r>
                    <w:rPr>
                      <w:rFonts w:eastAsia="宋体"/>
                      <w:b/>
                      <w:bCs/>
                      <w:sz w:val="21"/>
                      <w:szCs w:val="21"/>
                    </w:rPr>
                    <w:t>CO</w:t>
                  </w:r>
                </w:p>
              </w:tc>
              <w:tc>
                <w:tcPr>
                  <w:tcW w:w="744" w:type="dxa"/>
                  <w:vAlign w:val="center"/>
                </w:tcPr>
                <w:p>
                  <w:pPr>
                    <w:autoSpaceDE w:val="0"/>
                    <w:autoSpaceDN w:val="0"/>
                    <w:adjustRightInd w:val="0"/>
                    <w:spacing w:line="240" w:lineRule="auto"/>
                    <w:jc w:val="center"/>
                    <w:rPr>
                      <w:rFonts w:eastAsia="宋体"/>
                      <w:b/>
                      <w:bCs/>
                      <w:sz w:val="21"/>
                      <w:szCs w:val="21"/>
                    </w:rPr>
                  </w:pPr>
                  <w:r>
                    <w:rPr>
                      <w:rFonts w:eastAsia="宋体"/>
                      <w:b/>
                      <w:bCs/>
                      <w:sz w:val="21"/>
                      <w:szCs w:val="21"/>
                    </w:rPr>
                    <w:t>HC</w:t>
                  </w:r>
                </w:p>
              </w:tc>
              <w:tc>
                <w:tcPr>
                  <w:tcW w:w="748" w:type="dxa"/>
                  <w:vAlign w:val="center"/>
                </w:tcPr>
                <w:p>
                  <w:pPr>
                    <w:autoSpaceDE w:val="0"/>
                    <w:autoSpaceDN w:val="0"/>
                    <w:adjustRightInd w:val="0"/>
                    <w:spacing w:line="240" w:lineRule="auto"/>
                    <w:jc w:val="center"/>
                    <w:rPr>
                      <w:rFonts w:eastAsia="宋体"/>
                      <w:b/>
                      <w:bCs/>
                      <w:sz w:val="21"/>
                      <w:szCs w:val="21"/>
                    </w:rPr>
                  </w:pPr>
                  <w:r>
                    <w:rPr>
                      <w:rFonts w:eastAsia="宋体"/>
                      <w:b/>
                      <w:bCs/>
                      <w:sz w:val="21"/>
                      <w:szCs w:val="21"/>
                    </w:rPr>
                    <w:t>NO</w:t>
                  </w:r>
                  <w:r>
                    <w:rPr>
                      <w:rFonts w:eastAsia="宋体"/>
                      <w:b/>
                      <w:bCs/>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 w:type="dxa"/>
                  <w:vMerge w:val="restart"/>
                  <w:vAlign w:val="center"/>
                </w:tcPr>
                <w:p>
                  <w:pPr>
                    <w:autoSpaceDE w:val="0"/>
                    <w:autoSpaceDN w:val="0"/>
                    <w:adjustRightInd w:val="0"/>
                    <w:spacing w:line="240" w:lineRule="auto"/>
                    <w:jc w:val="center"/>
                    <w:rPr>
                      <w:rFonts w:eastAsia="宋体"/>
                      <w:sz w:val="21"/>
                      <w:szCs w:val="21"/>
                    </w:rPr>
                  </w:pPr>
                  <w:r>
                    <w:rPr>
                      <w:rFonts w:hint="eastAsia" w:eastAsia="宋体"/>
                      <w:sz w:val="21"/>
                      <w:szCs w:val="21"/>
                    </w:rPr>
                    <w:t>教师公寓地下车库</w:t>
                  </w:r>
                </w:p>
              </w:tc>
              <w:tc>
                <w:tcPr>
                  <w:tcW w:w="890" w:type="dxa"/>
                  <w:vMerge w:val="restart"/>
                  <w:vAlign w:val="center"/>
                </w:tcPr>
                <w:p>
                  <w:pPr>
                    <w:autoSpaceDE w:val="0"/>
                    <w:autoSpaceDN w:val="0"/>
                    <w:adjustRightInd w:val="0"/>
                    <w:spacing w:line="240" w:lineRule="auto"/>
                    <w:jc w:val="center"/>
                    <w:rPr>
                      <w:rFonts w:eastAsia="宋体"/>
                      <w:sz w:val="21"/>
                      <w:szCs w:val="21"/>
                    </w:rPr>
                  </w:pPr>
                  <w:r>
                    <w:rPr>
                      <w:rFonts w:hint="eastAsia" w:eastAsia="宋体"/>
                      <w:sz w:val="21"/>
                      <w:szCs w:val="21"/>
                    </w:rPr>
                    <w:t>2</w:t>
                  </w:r>
                  <w:r>
                    <w:rPr>
                      <w:rFonts w:eastAsia="宋体"/>
                      <w:sz w:val="21"/>
                      <w:szCs w:val="21"/>
                    </w:rPr>
                    <w:t>2</w:t>
                  </w:r>
                  <w:r>
                    <w:rPr>
                      <w:rFonts w:hint="eastAsia" w:eastAsia="宋体"/>
                      <w:sz w:val="21"/>
                      <w:szCs w:val="21"/>
                    </w:rPr>
                    <w:t>8</w:t>
                  </w:r>
                </w:p>
              </w:tc>
              <w:tc>
                <w:tcPr>
                  <w:tcW w:w="1190" w:type="dxa"/>
                  <w:vMerge w:val="restart"/>
                  <w:vAlign w:val="center"/>
                </w:tcPr>
                <w:p>
                  <w:pPr>
                    <w:autoSpaceDE w:val="0"/>
                    <w:autoSpaceDN w:val="0"/>
                    <w:adjustRightInd w:val="0"/>
                    <w:spacing w:line="240" w:lineRule="auto"/>
                    <w:jc w:val="center"/>
                    <w:rPr>
                      <w:rFonts w:eastAsia="宋体"/>
                      <w:sz w:val="21"/>
                      <w:szCs w:val="21"/>
                    </w:rPr>
                  </w:pPr>
                  <w:r>
                    <w:rPr>
                      <w:rFonts w:hint="eastAsia" w:eastAsia="宋体"/>
                      <w:sz w:val="21"/>
                      <w:szCs w:val="21"/>
                    </w:rPr>
                    <w:t>35646.6</w:t>
                  </w:r>
                </w:p>
              </w:tc>
              <w:tc>
                <w:tcPr>
                  <w:tcW w:w="1282" w:type="dxa"/>
                  <w:vMerge w:val="restart"/>
                  <w:vAlign w:val="center"/>
                </w:tcPr>
                <w:p>
                  <w:pPr>
                    <w:autoSpaceDE w:val="0"/>
                    <w:autoSpaceDN w:val="0"/>
                    <w:adjustRightInd w:val="0"/>
                    <w:spacing w:line="240" w:lineRule="auto"/>
                    <w:jc w:val="center"/>
                    <w:rPr>
                      <w:rFonts w:eastAsia="宋体"/>
                      <w:sz w:val="21"/>
                      <w:szCs w:val="21"/>
                    </w:rPr>
                  </w:pPr>
                  <w:r>
                    <w:rPr>
                      <w:rFonts w:hint="eastAsia" w:eastAsia="宋体"/>
                      <w:sz w:val="21"/>
                      <w:szCs w:val="21"/>
                    </w:rPr>
                    <w:t>21.39</w:t>
                  </w:r>
                </w:p>
              </w:tc>
              <w:tc>
                <w:tcPr>
                  <w:tcW w:w="1276" w:type="dxa"/>
                  <w:vAlign w:val="center"/>
                </w:tcPr>
                <w:p>
                  <w:pPr>
                    <w:autoSpaceDE w:val="0"/>
                    <w:autoSpaceDN w:val="0"/>
                    <w:adjustRightInd w:val="0"/>
                    <w:spacing w:line="240" w:lineRule="auto"/>
                    <w:jc w:val="center"/>
                    <w:rPr>
                      <w:rFonts w:eastAsia="宋体"/>
                      <w:sz w:val="21"/>
                      <w:szCs w:val="21"/>
                    </w:rPr>
                  </w:pPr>
                  <w:r>
                    <w:rPr>
                      <w:rFonts w:eastAsia="宋体"/>
                      <w:sz w:val="21"/>
                      <w:szCs w:val="21"/>
                      <w:lang w:val="zh-CN"/>
                    </w:rPr>
                    <w:t>最大排放速率</w:t>
                  </w:r>
                  <w:r>
                    <w:rPr>
                      <w:rFonts w:eastAsia="宋体"/>
                      <w:sz w:val="21"/>
                      <w:szCs w:val="21"/>
                    </w:rPr>
                    <w:t>（kg/h）</w:t>
                  </w:r>
                </w:p>
              </w:tc>
              <w:tc>
                <w:tcPr>
                  <w:tcW w:w="744" w:type="dxa"/>
                  <w:vAlign w:val="center"/>
                </w:tcPr>
                <w:p>
                  <w:pPr>
                    <w:widowControl/>
                    <w:spacing w:line="240" w:lineRule="auto"/>
                    <w:jc w:val="center"/>
                    <w:textAlignment w:val="center"/>
                    <w:rPr>
                      <w:rFonts w:eastAsia="宋体"/>
                      <w:kern w:val="0"/>
                      <w:sz w:val="21"/>
                      <w:szCs w:val="21"/>
                    </w:rPr>
                  </w:pPr>
                  <w:r>
                    <w:rPr>
                      <w:rFonts w:hint="eastAsia" w:eastAsia="宋体"/>
                      <w:kern w:val="0"/>
                      <w:sz w:val="21"/>
                      <w:szCs w:val="21"/>
                    </w:rPr>
                    <w:t>1</w:t>
                  </w:r>
                  <w:r>
                    <w:rPr>
                      <w:rFonts w:eastAsia="宋体"/>
                      <w:kern w:val="0"/>
                      <w:sz w:val="21"/>
                      <w:szCs w:val="21"/>
                    </w:rPr>
                    <w:t>.38</w:t>
                  </w:r>
                </w:p>
              </w:tc>
              <w:tc>
                <w:tcPr>
                  <w:tcW w:w="744" w:type="dxa"/>
                  <w:vAlign w:val="center"/>
                </w:tcPr>
                <w:p>
                  <w:pPr>
                    <w:widowControl/>
                    <w:spacing w:line="240" w:lineRule="auto"/>
                    <w:jc w:val="center"/>
                    <w:textAlignment w:val="center"/>
                    <w:rPr>
                      <w:rFonts w:eastAsia="宋体"/>
                      <w:kern w:val="0"/>
                      <w:sz w:val="21"/>
                      <w:szCs w:val="21"/>
                    </w:rPr>
                  </w:pPr>
                  <w:r>
                    <w:rPr>
                      <w:rFonts w:hint="eastAsia" w:eastAsia="宋体"/>
                      <w:kern w:val="0"/>
                      <w:sz w:val="21"/>
                      <w:szCs w:val="21"/>
                    </w:rPr>
                    <w:t>0</w:t>
                  </w:r>
                  <w:r>
                    <w:rPr>
                      <w:rFonts w:eastAsia="宋体"/>
                      <w:kern w:val="0"/>
                      <w:sz w:val="21"/>
                      <w:szCs w:val="21"/>
                    </w:rPr>
                    <w:t>.02</w:t>
                  </w:r>
                </w:p>
              </w:tc>
              <w:tc>
                <w:tcPr>
                  <w:tcW w:w="748" w:type="dxa"/>
                  <w:vAlign w:val="center"/>
                </w:tcPr>
                <w:p>
                  <w:pPr>
                    <w:widowControl/>
                    <w:spacing w:line="240" w:lineRule="auto"/>
                    <w:jc w:val="center"/>
                    <w:textAlignment w:val="center"/>
                    <w:rPr>
                      <w:rFonts w:eastAsia="宋体"/>
                      <w:kern w:val="0"/>
                      <w:sz w:val="21"/>
                      <w:szCs w:val="21"/>
                    </w:rPr>
                  </w:pPr>
                  <w:r>
                    <w:rPr>
                      <w:rFonts w:hint="eastAsia" w:eastAsia="宋体"/>
                      <w:kern w:val="0"/>
                      <w:sz w:val="21"/>
                      <w:szCs w:val="21"/>
                    </w:rPr>
                    <w:t>0</w:t>
                  </w:r>
                  <w:r>
                    <w:rPr>
                      <w:rFonts w:eastAsia="宋体"/>
                      <w:kern w:val="0"/>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 w:type="dxa"/>
                  <w:vMerge w:val="continue"/>
                  <w:vAlign w:val="center"/>
                </w:tcPr>
                <w:p>
                  <w:pPr>
                    <w:autoSpaceDE w:val="0"/>
                    <w:autoSpaceDN w:val="0"/>
                    <w:adjustRightInd w:val="0"/>
                    <w:spacing w:line="240" w:lineRule="auto"/>
                    <w:jc w:val="center"/>
                    <w:rPr>
                      <w:rFonts w:eastAsia="宋体"/>
                      <w:sz w:val="21"/>
                      <w:szCs w:val="21"/>
                    </w:rPr>
                  </w:pPr>
                </w:p>
              </w:tc>
              <w:tc>
                <w:tcPr>
                  <w:tcW w:w="890" w:type="dxa"/>
                  <w:vMerge w:val="continue"/>
                  <w:vAlign w:val="center"/>
                </w:tcPr>
                <w:p>
                  <w:pPr>
                    <w:autoSpaceDE w:val="0"/>
                    <w:autoSpaceDN w:val="0"/>
                    <w:adjustRightInd w:val="0"/>
                    <w:spacing w:line="240" w:lineRule="auto"/>
                    <w:jc w:val="center"/>
                    <w:rPr>
                      <w:rFonts w:eastAsia="宋体"/>
                      <w:sz w:val="21"/>
                      <w:szCs w:val="21"/>
                    </w:rPr>
                  </w:pPr>
                </w:p>
              </w:tc>
              <w:tc>
                <w:tcPr>
                  <w:tcW w:w="1190" w:type="dxa"/>
                  <w:vMerge w:val="continue"/>
                  <w:vAlign w:val="center"/>
                </w:tcPr>
                <w:p>
                  <w:pPr>
                    <w:autoSpaceDE w:val="0"/>
                    <w:autoSpaceDN w:val="0"/>
                    <w:adjustRightInd w:val="0"/>
                    <w:spacing w:line="240" w:lineRule="auto"/>
                    <w:jc w:val="center"/>
                    <w:rPr>
                      <w:rFonts w:eastAsia="宋体"/>
                      <w:sz w:val="21"/>
                      <w:szCs w:val="21"/>
                    </w:rPr>
                  </w:pPr>
                </w:p>
              </w:tc>
              <w:tc>
                <w:tcPr>
                  <w:tcW w:w="1282" w:type="dxa"/>
                  <w:vMerge w:val="continue"/>
                  <w:vAlign w:val="center"/>
                </w:tcPr>
                <w:p>
                  <w:pPr>
                    <w:autoSpaceDE w:val="0"/>
                    <w:autoSpaceDN w:val="0"/>
                    <w:adjustRightInd w:val="0"/>
                    <w:spacing w:line="240" w:lineRule="auto"/>
                    <w:jc w:val="center"/>
                    <w:rPr>
                      <w:rFonts w:eastAsia="宋体"/>
                      <w:sz w:val="21"/>
                      <w:szCs w:val="21"/>
                    </w:rPr>
                  </w:pPr>
                </w:p>
              </w:tc>
              <w:tc>
                <w:tcPr>
                  <w:tcW w:w="1276" w:type="dxa"/>
                  <w:vAlign w:val="center"/>
                </w:tcPr>
                <w:p>
                  <w:pPr>
                    <w:autoSpaceDE w:val="0"/>
                    <w:autoSpaceDN w:val="0"/>
                    <w:adjustRightInd w:val="0"/>
                    <w:spacing w:line="240" w:lineRule="auto"/>
                    <w:jc w:val="center"/>
                    <w:rPr>
                      <w:rFonts w:eastAsia="宋体"/>
                      <w:sz w:val="21"/>
                      <w:szCs w:val="21"/>
                      <w:lang w:val="zh-CN"/>
                    </w:rPr>
                  </w:pPr>
                  <w:r>
                    <w:rPr>
                      <w:rFonts w:eastAsia="宋体"/>
                      <w:sz w:val="21"/>
                      <w:szCs w:val="21"/>
                      <w:lang w:val="zh-CN"/>
                    </w:rPr>
                    <w:t>最大排放浓度</w:t>
                  </w:r>
                  <w:r>
                    <w:rPr>
                      <w:rFonts w:eastAsia="宋体"/>
                      <w:sz w:val="21"/>
                      <w:szCs w:val="21"/>
                    </w:rPr>
                    <w:t>（mg/m</w:t>
                  </w:r>
                  <w:r>
                    <w:rPr>
                      <w:rFonts w:eastAsia="宋体"/>
                      <w:sz w:val="21"/>
                      <w:szCs w:val="21"/>
                      <w:vertAlign w:val="superscript"/>
                    </w:rPr>
                    <w:t>3</w:t>
                  </w:r>
                  <w:r>
                    <w:rPr>
                      <w:rFonts w:eastAsia="宋体"/>
                      <w:sz w:val="21"/>
                      <w:szCs w:val="21"/>
                    </w:rPr>
                    <w:t>）</w:t>
                  </w:r>
                </w:p>
              </w:tc>
              <w:tc>
                <w:tcPr>
                  <w:tcW w:w="744" w:type="dxa"/>
                  <w:vAlign w:val="center"/>
                </w:tcPr>
                <w:p>
                  <w:pPr>
                    <w:widowControl/>
                    <w:spacing w:line="240" w:lineRule="auto"/>
                    <w:jc w:val="center"/>
                    <w:textAlignment w:val="center"/>
                    <w:rPr>
                      <w:rFonts w:eastAsia="宋体"/>
                      <w:kern w:val="0"/>
                      <w:sz w:val="21"/>
                      <w:szCs w:val="21"/>
                    </w:rPr>
                  </w:pPr>
                  <w:r>
                    <w:rPr>
                      <w:rFonts w:hint="eastAsia" w:eastAsia="宋体"/>
                      <w:kern w:val="0"/>
                      <w:sz w:val="21"/>
                      <w:szCs w:val="21"/>
                    </w:rPr>
                    <w:t>6.45</w:t>
                  </w:r>
                </w:p>
              </w:tc>
              <w:tc>
                <w:tcPr>
                  <w:tcW w:w="744" w:type="dxa"/>
                  <w:vAlign w:val="center"/>
                </w:tcPr>
                <w:p>
                  <w:pPr>
                    <w:widowControl/>
                    <w:spacing w:line="240" w:lineRule="auto"/>
                    <w:jc w:val="center"/>
                    <w:textAlignment w:val="center"/>
                    <w:rPr>
                      <w:rFonts w:eastAsia="宋体"/>
                      <w:kern w:val="0"/>
                      <w:sz w:val="21"/>
                      <w:szCs w:val="21"/>
                    </w:rPr>
                  </w:pPr>
                  <w:r>
                    <w:rPr>
                      <w:rFonts w:hint="eastAsia" w:eastAsia="宋体"/>
                      <w:kern w:val="0"/>
                      <w:sz w:val="21"/>
                      <w:szCs w:val="21"/>
                    </w:rPr>
                    <w:t>0.09</w:t>
                  </w:r>
                </w:p>
              </w:tc>
              <w:tc>
                <w:tcPr>
                  <w:tcW w:w="748" w:type="dxa"/>
                  <w:vAlign w:val="center"/>
                </w:tcPr>
                <w:p>
                  <w:pPr>
                    <w:widowControl/>
                    <w:spacing w:line="240" w:lineRule="auto"/>
                    <w:jc w:val="center"/>
                    <w:textAlignment w:val="center"/>
                    <w:rPr>
                      <w:rFonts w:eastAsia="宋体"/>
                      <w:kern w:val="0"/>
                      <w:sz w:val="21"/>
                      <w:szCs w:val="21"/>
                    </w:rPr>
                  </w:pPr>
                  <w:r>
                    <w:rPr>
                      <w:rFonts w:hint="eastAsia" w:eastAsia="宋体"/>
                      <w:kern w:val="0"/>
                      <w:sz w:val="21"/>
                      <w:szCs w:val="21"/>
                    </w:rPr>
                    <w:t>0.14</w:t>
                  </w:r>
                </w:p>
              </w:tc>
            </w:tr>
          </w:tbl>
          <w:p>
            <w:pPr>
              <w:pStyle w:val="10"/>
              <w:tabs>
                <w:tab w:val="left" w:pos="2916"/>
              </w:tabs>
              <w:spacing w:line="360" w:lineRule="auto"/>
              <w:ind w:right="0" w:firstLine="480" w:firstLineChars="200"/>
              <w:rPr>
                <w:rFonts w:ascii="Times New Roman" w:hAnsi="Times New Roman" w:eastAsia="宋体"/>
              </w:rPr>
            </w:pPr>
            <w:r>
              <w:rPr>
                <w:rFonts w:ascii="Times New Roman" w:hAnsi="Times New Roman" w:eastAsia="宋体"/>
                <w:kern w:val="24"/>
              </w:rPr>
              <w:t>由此可见，污染物NO</w:t>
            </w:r>
            <w:r>
              <w:rPr>
                <w:rFonts w:ascii="Times New Roman" w:hAnsi="Times New Roman" w:eastAsia="宋体"/>
                <w:kern w:val="24"/>
                <w:vertAlign w:val="subscript"/>
              </w:rPr>
              <w:t>2</w:t>
            </w:r>
            <w:r>
              <w:rPr>
                <w:rFonts w:hint="eastAsia" w:ascii="Times New Roman" w:hAnsi="Times New Roman" w:eastAsia="宋体"/>
                <w:kern w:val="24"/>
              </w:rPr>
              <w:t>、HC</w:t>
            </w:r>
            <w:r>
              <w:rPr>
                <w:rFonts w:ascii="Times New Roman" w:hAnsi="Times New Roman" w:eastAsia="宋体"/>
                <w:kern w:val="24"/>
              </w:rPr>
              <w:t>排放速率和排放浓度能满足《大气污染物综合排放标准》</w:t>
            </w:r>
            <w:r>
              <w:rPr>
                <w:rFonts w:hint="eastAsia" w:ascii="Times New Roman" w:hAnsi="Times New Roman" w:eastAsia="宋体"/>
                <w:kern w:val="24"/>
              </w:rPr>
              <w:t>（</w:t>
            </w:r>
            <w:r>
              <w:rPr>
                <w:rFonts w:ascii="Times New Roman" w:hAnsi="Times New Roman" w:eastAsia="宋体"/>
                <w:kern w:val="24"/>
              </w:rPr>
              <w:t>GB16297-1996</w:t>
            </w:r>
            <w:r>
              <w:rPr>
                <w:rFonts w:hint="eastAsia" w:ascii="Times New Roman" w:hAnsi="Times New Roman" w:eastAsia="宋体"/>
                <w:kern w:val="24"/>
              </w:rPr>
              <w:t>）</w:t>
            </w:r>
            <w:r>
              <w:rPr>
                <w:rFonts w:ascii="Times New Roman" w:hAnsi="Times New Roman" w:eastAsia="宋体"/>
                <w:kern w:val="24"/>
              </w:rPr>
              <w:t>中新污染源二级标准要求，CO排放浓度满足《工业场所有害因素职业接触限值》</w:t>
            </w:r>
            <w:r>
              <w:rPr>
                <w:rFonts w:hint="eastAsia" w:ascii="Times New Roman" w:hAnsi="Times New Roman" w:eastAsia="宋体"/>
                <w:kern w:val="24"/>
              </w:rPr>
              <w:t>（</w:t>
            </w:r>
            <w:r>
              <w:rPr>
                <w:rFonts w:ascii="Times New Roman" w:hAnsi="Times New Roman" w:eastAsia="宋体"/>
                <w:kern w:val="24"/>
              </w:rPr>
              <w:t>GBZ2-2007</w:t>
            </w:r>
            <w:r>
              <w:rPr>
                <w:rFonts w:hint="eastAsia" w:ascii="Times New Roman" w:hAnsi="Times New Roman" w:eastAsia="宋体"/>
                <w:kern w:val="24"/>
              </w:rPr>
              <w:t>）</w:t>
            </w:r>
            <w:r>
              <w:rPr>
                <w:rFonts w:ascii="Times New Roman" w:hAnsi="Times New Roman" w:eastAsia="宋体"/>
                <w:kern w:val="24"/>
              </w:rPr>
              <w:t>中的所规定浓度限值要求。</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2）实验室废气</w:t>
            </w:r>
          </w:p>
          <w:p>
            <w:pPr>
              <w:widowControl/>
              <w:spacing w:line="360" w:lineRule="auto"/>
              <w:ind w:right="0" w:firstLine="480" w:firstLineChars="200"/>
              <w:jc w:val="left"/>
              <w:rPr>
                <w:rFonts w:ascii="Times New Roman" w:hAnsi="Times New Roman" w:eastAsia="宋体" w:cs="Times New Roman"/>
              </w:rPr>
            </w:pPr>
            <w:r>
              <w:rPr>
                <w:rFonts w:hint="eastAsia" w:ascii="Times New Roman" w:hAnsi="Times New Roman" w:eastAsia="宋体"/>
                <w:kern w:val="24"/>
              </w:rPr>
              <w:t>本项目</w:t>
            </w:r>
            <w:r>
              <w:rPr>
                <w:rFonts w:ascii="Times New Roman" w:hAnsi="Times New Roman" w:eastAsia="宋体"/>
                <w:kern w:val="24"/>
              </w:rPr>
              <w:t>实验课主要包括物理</w:t>
            </w:r>
            <w:r>
              <w:rPr>
                <w:rFonts w:hint="eastAsia" w:ascii="Times New Roman" w:hAnsi="Times New Roman" w:eastAsia="宋体"/>
                <w:kern w:val="24"/>
              </w:rPr>
              <w:t>、</w:t>
            </w:r>
            <w:r>
              <w:rPr>
                <w:rFonts w:ascii="Times New Roman" w:hAnsi="Times New Roman" w:eastAsia="宋体"/>
                <w:kern w:val="24"/>
              </w:rPr>
              <w:t>化学</w:t>
            </w:r>
            <w:r>
              <w:rPr>
                <w:rFonts w:hint="eastAsia" w:ascii="Times New Roman" w:hAnsi="Times New Roman" w:eastAsia="宋体"/>
                <w:kern w:val="24"/>
              </w:rPr>
              <w:t>和生物。</w:t>
            </w:r>
            <w:r>
              <w:rPr>
                <w:rFonts w:ascii="Times New Roman" w:hAnsi="Times New Roman" w:eastAsia="宋体"/>
                <w:kern w:val="24"/>
              </w:rPr>
              <w:t>物理实验主要做光的反射、折射，生现象、热现象，力和运动，液体的压强，大气压强，浮力、电路电流电磁等实验，基本不会有废水排放；化学实验主要包括常见气体的制取，电解质溶液、燃烧实验等，基本采用教师演示为主，实验中化学药品主要为盐酸、硫酸、氢氧化钠、高锰酸钾、碳酸盐等常见的实验药品，据相关教学资料，每次实验酸类消耗量小于50mL，碱类消耗量小于30g，盐类消耗量小于50g</w:t>
            </w:r>
            <w:r>
              <w:rPr>
                <w:rFonts w:hint="eastAsia" w:ascii="Times New Roman" w:hAnsi="Times New Roman" w:eastAsia="宋体"/>
                <w:kern w:val="24"/>
              </w:rPr>
              <w:t>；生物实验主要为观察草履虫、解剖鲫鱼、青蛙等，还有观察植物细胞壁、叶绿素层析等。少量的实验是教师在讲台上演示，也有少量是让学生动手操作的。</w:t>
            </w:r>
            <w:r>
              <w:rPr>
                <w:rFonts w:hint="eastAsia" w:ascii="Times New Roman" w:hAnsi="Times New Roman" w:eastAsia="宋体" w:cs="Times New Roman"/>
              </w:rPr>
              <w:t>由于实验室废气产生量与实验项目、实验时间有关，废气属于间歇性排放，产生的废气主要为：非甲烷总烃、氯化氢、臭气浓度及硫酸雾，化学试剂一次性使用量较少，产生的废气较少，因此本环评不做定量分析。</w:t>
            </w:r>
            <w:r>
              <w:rPr>
                <w:rFonts w:hint="default" w:ascii="Times New Roman" w:hAnsi="Times New Roman" w:eastAsia="宋体" w:cs="Times New Roman"/>
                <w:color w:val="000000"/>
                <w:kern w:val="0"/>
                <w:sz w:val="24"/>
                <w:szCs w:val="24"/>
                <w:lang w:val="en-US" w:eastAsia="zh-CN" w:bidi="ar"/>
              </w:rPr>
              <w:t>根据设计方案，学校化学和生物实验室设置专门的通风柜，并设专门的风道或竖井将实验室废气引致屋顶高空排放，排放高度为20m；同时每个实验室上方安装集气通风装置，换气采用自然进风、机械排风的方式进行；确保实验</w:t>
            </w:r>
            <w:r>
              <w:rPr>
                <w:rFonts w:hint="eastAsia" w:ascii="宋体" w:hAnsi="宋体" w:eastAsia="宋体" w:cs="宋体"/>
                <w:color w:val="000000"/>
                <w:kern w:val="0"/>
                <w:sz w:val="24"/>
                <w:szCs w:val="24"/>
                <w:lang w:val="en-US" w:eastAsia="zh-CN" w:bidi="ar"/>
              </w:rPr>
              <w:t>过程中产生的少量有机废气经通风换气后排放。</w:t>
            </w:r>
            <w:r>
              <w:rPr>
                <w:rFonts w:hint="eastAsia" w:ascii="Times New Roman" w:hAnsi="Times New Roman" w:eastAsia="宋体"/>
                <w:kern w:val="24"/>
              </w:rPr>
              <w:t>通风柜</w:t>
            </w:r>
            <w:r>
              <w:rPr>
                <w:rFonts w:hint="eastAsia" w:eastAsia="宋体"/>
                <w:kern w:val="24"/>
                <w:lang w:val="en-US" w:eastAsia="zh-CN"/>
              </w:rPr>
              <w:t>数量为2个，</w:t>
            </w:r>
            <w:r>
              <w:rPr>
                <w:rFonts w:hint="eastAsia" w:ascii="Times New Roman" w:hAnsi="Times New Roman" w:eastAsia="宋体"/>
                <w:kern w:val="24"/>
              </w:rPr>
              <w:t>排风量标准为1.8米宽通风柜，排风量200</w:t>
            </w:r>
            <w:r>
              <w:rPr>
                <w:rFonts w:hint="eastAsia" w:ascii="Times New Roman" w:hAnsi="Times New Roman" w:eastAsia="宋体" w:cs="Times New Roman"/>
              </w:rPr>
              <w:t>0m</w:t>
            </w:r>
            <w:r>
              <w:rPr>
                <w:rFonts w:hint="eastAsia" w:ascii="Times New Roman" w:hAnsi="Times New Roman" w:eastAsia="宋体" w:cs="Times New Roman"/>
                <w:vertAlign w:val="superscript"/>
              </w:rPr>
              <w:t>3</w:t>
            </w:r>
            <w:r>
              <w:rPr>
                <w:rFonts w:hint="eastAsia" w:ascii="Times New Roman" w:hAnsi="Times New Roman" w:eastAsia="宋体" w:cs="Times New Roman"/>
              </w:rPr>
              <w:t>/h</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3）垃圾房臭气</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本项目于学校东南角地下室设有1个垃圾房，垃圾房内易产生臭气，主要来源于垃圾成分中本身发出的异味及有机物腐败分解产生的恶臭，多为多组分、低浓度化学物质形成的混合物，随垃圾成分、季节、天气状况变化较大，成分和含量均较难确定，故本环评仅对其作定性分析，臭气中主要成分为氨、硫化氢和甲硫醇、三甲胺等脂肪族类物质。</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生活垃圾应采用袋装分类收集，分开贮存，密闭运输至垃圾房，不进行压实作业。生活垃圾日产日清，保洁人员在垃圾清运后，应及时对垃圾房进行清扫，定期喷洒除臭剂除臭，同时消毒作业人员应定期进行消毒灭菌灭蝇等工作，防止由于垃圾积存时间长而导致蚊蝇滋生以及垃圾腐败产生异味，在此基础上，垃圾房产生的臭气对环境影响不大。</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4）食堂油烟废气</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项目食堂预设20个</w:t>
            </w:r>
            <w:bookmarkStart w:id="10" w:name="_Hlk137817454"/>
            <w:r>
              <w:rPr>
                <w:rFonts w:hint="eastAsia" w:ascii="Times New Roman" w:hAnsi="Times New Roman" w:eastAsia="宋体" w:cs="Times New Roman"/>
              </w:rPr>
              <w:t>基准灶头</w:t>
            </w:r>
            <w:bookmarkEnd w:id="10"/>
            <w:r>
              <w:rPr>
                <w:rFonts w:hint="eastAsia" w:ascii="Times New Roman" w:hAnsi="Times New Roman" w:eastAsia="宋体" w:cs="Times New Roman"/>
              </w:rPr>
              <w:t>，设有1个废气排放口（D</w:t>
            </w:r>
            <w:r>
              <w:rPr>
                <w:rFonts w:ascii="Times New Roman" w:hAnsi="Times New Roman" w:eastAsia="宋体" w:cs="Times New Roman"/>
              </w:rPr>
              <w:t>A001</w:t>
            </w:r>
            <w:r>
              <w:rPr>
                <w:rFonts w:hint="eastAsia" w:ascii="Times New Roman" w:hAnsi="Times New Roman" w:eastAsia="宋体" w:cs="Times New Roman"/>
              </w:rPr>
              <w:t>），每个基准灶头基准排风量为2</w:t>
            </w:r>
            <w:r>
              <w:rPr>
                <w:rFonts w:ascii="Times New Roman" w:hAnsi="Times New Roman" w:eastAsia="宋体" w:cs="Times New Roman"/>
              </w:rPr>
              <w:t>000</w:t>
            </w:r>
            <w:r>
              <w:rPr>
                <w:rFonts w:hint="eastAsia" w:ascii="Times New Roman" w:hAnsi="Times New Roman" w:eastAsia="宋体" w:cs="Times New Roman"/>
              </w:rPr>
              <w:t>m</w:t>
            </w:r>
            <w:r>
              <w:rPr>
                <w:rFonts w:hint="eastAsia" w:ascii="Times New Roman" w:hAnsi="Times New Roman" w:eastAsia="宋体" w:cs="Times New Roman"/>
                <w:vertAlign w:val="superscript"/>
              </w:rPr>
              <w:t>3</w:t>
            </w:r>
            <w:r>
              <w:rPr>
                <w:rFonts w:hint="eastAsia" w:ascii="Times New Roman" w:hAnsi="Times New Roman" w:eastAsia="宋体" w:cs="Times New Roman"/>
              </w:rPr>
              <w:t>/h，参照《中国居民膳食指南（2016）》，食堂学生及教职工餐饮食用油日用量约30g</w:t>
            </w:r>
            <w:r>
              <w:rPr>
                <w:rFonts w:ascii="Times New Roman" w:hAnsi="Times New Roman" w:eastAsia="宋体" w:cs="Times New Roman"/>
              </w:rPr>
              <w:t>/</w:t>
            </w:r>
            <w:r>
              <w:rPr>
                <w:rFonts w:hint="eastAsia" w:ascii="Times New Roman" w:hAnsi="Times New Roman" w:eastAsia="宋体" w:cs="Times New Roman"/>
              </w:rPr>
              <w:t>人·d，一般油烟挥发量占总耗油量的3%，日最大就餐量约为2567人次，按一天，食堂全年运行210天，日加工时间约6h，年产生油烟量为0.488t/a，油烟废气经油烟净化器处理后通过排烟管道引至所在楼楼顶排放（楼顶排气筒高度为</w:t>
            </w:r>
            <w:r>
              <w:rPr>
                <w:rFonts w:hint="eastAsia" w:ascii="Times New Roman" w:hAnsi="Times New Roman" w:eastAsia="宋体" w:cs="Times New Roman"/>
                <w:lang w:val="en-US" w:eastAsia="zh-CN"/>
              </w:rPr>
              <w:t>26m</w:t>
            </w:r>
            <w:r>
              <w:rPr>
                <w:rFonts w:hint="eastAsia" w:ascii="Times New Roman" w:hAnsi="Times New Roman" w:eastAsia="宋体" w:cs="Times New Roman"/>
              </w:rPr>
              <w:t>）。为满足《饮食业油烟排放标准》（GB18483-2001）的大型规模标准（最高允许排放浓度2.0mg/m</w:t>
            </w:r>
            <w:r>
              <w:rPr>
                <w:rFonts w:ascii="Times New Roman" w:hAnsi="Times New Roman" w:eastAsia="宋体" w:cs="Times New Roman"/>
                <w:vertAlign w:val="superscript"/>
              </w:rPr>
              <w:t>3</w:t>
            </w:r>
            <w:r>
              <w:rPr>
                <w:rFonts w:hint="eastAsia" w:ascii="Times New Roman" w:hAnsi="Times New Roman" w:eastAsia="宋体" w:cs="Times New Roman"/>
              </w:rPr>
              <w:t>，需安装油烟净化器处理效率不低于85%），各排气口风机风量不低于</w:t>
            </w:r>
            <w:r>
              <w:rPr>
                <w:rFonts w:ascii="Times New Roman" w:hAnsi="Times New Roman" w:eastAsia="宋体" w:cs="Times New Roman"/>
              </w:rPr>
              <w:t>27000</w:t>
            </w:r>
            <w:r>
              <w:rPr>
                <w:rFonts w:hint="eastAsia" w:ascii="Times New Roman" w:hAnsi="Times New Roman" w:eastAsia="宋体" w:cs="Times New Roman"/>
              </w:rPr>
              <w:t>m</w:t>
            </w:r>
            <w:r>
              <w:rPr>
                <w:rFonts w:ascii="Times New Roman" w:hAnsi="Times New Roman" w:eastAsia="宋体" w:cs="Times New Roman"/>
                <w:vertAlign w:val="superscript"/>
              </w:rPr>
              <w:t>3</w:t>
            </w:r>
            <w:r>
              <w:rPr>
                <w:rFonts w:hint="eastAsia" w:ascii="Times New Roman" w:hAnsi="Times New Roman" w:eastAsia="宋体" w:cs="Times New Roman"/>
              </w:rPr>
              <w:t>/h。根据设计资料，油烟净化器各风机总风量约4</w:t>
            </w:r>
            <w:r>
              <w:rPr>
                <w:rFonts w:ascii="Times New Roman" w:hAnsi="Times New Roman" w:eastAsia="宋体" w:cs="Times New Roman"/>
              </w:rPr>
              <w:t>0000</w:t>
            </w:r>
            <w:r>
              <w:rPr>
                <w:rFonts w:hint="eastAsia" w:ascii="Times New Roman" w:hAnsi="Times New Roman" w:eastAsia="宋体" w:cs="Times New Roman"/>
              </w:rPr>
              <w:t>m</w:t>
            </w:r>
            <w:r>
              <w:rPr>
                <w:rFonts w:ascii="Times New Roman" w:hAnsi="Times New Roman" w:eastAsia="宋体" w:cs="Times New Roman"/>
                <w:vertAlign w:val="superscript"/>
              </w:rPr>
              <w:t>3</w:t>
            </w:r>
            <w:r>
              <w:rPr>
                <w:rFonts w:hint="eastAsia" w:ascii="Times New Roman" w:hAnsi="Times New Roman" w:eastAsia="宋体" w:cs="Times New Roman"/>
              </w:rPr>
              <w:t>/h&gt;</w:t>
            </w:r>
            <w:r>
              <w:rPr>
                <w:rFonts w:ascii="Times New Roman" w:hAnsi="Times New Roman" w:eastAsia="宋体" w:cs="Times New Roman"/>
              </w:rPr>
              <w:t>27</w:t>
            </w:r>
            <w:r>
              <w:rPr>
                <w:rFonts w:hint="eastAsia" w:ascii="Times New Roman" w:hAnsi="Times New Roman" w:eastAsia="宋体" w:cs="Times New Roman"/>
              </w:rPr>
              <w:t>000m</w:t>
            </w:r>
            <w:r>
              <w:rPr>
                <w:rFonts w:ascii="Times New Roman" w:hAnsi="Times New Roman" w:eastAsia="宋体" w:cs="Times New Roman"/>
                <w:vertAlign w:val="superscript"/>
              </w:rPr>
              <w:t>3</w:t>
            </w:r>
            <w:r>
              <w:rPr>
                <w:rFonts w:hint="eastAsia" w:ascii="Times New Roman" w:hAnsi="Times New Roman" w:eastAsia="宋体" w:cs="Times New Roman"/>
              </w:rPr>
              <w:t>/h，则油烟废气有组织年排放量为0.073ta，0.058kg/h，排放浓度为</w:t>
            </w:r>
            <w:r>
              <w:rPr>
                <w:rFonts w:ascii="Times New Roman" w:hAnsi="Times New Roman" w:eastAsia="宋体" w:cs="Times New Roman"/>
              </w:rPr>
              <w:t>1.4</w:t>
            </w:r>
            <w:r>
              <w:rPr>
                <w:rFonts w:hint="eastAsia" w:ascii="Times New Roman" w:hAnsi="Times New Roman" w:eastAsia="宋体" w:cs="Times New Roman"/>
              </w:rPr>
              <w:t>5mg/m</w:t>
            </w:r>
            <w:r>
              <w:rPr>
                <w:rFonts w:ascii="Times New Roman" w:hAnsi="Times New Roman" w:eastAsia="宋体" w:cs="Times New Roman"/>
                <w:vertAlign w:val="superscript"/>
              </w:rPr>
              <w:t>3</w:t>
            </w:r>
            <w:r>
              <w:rPr>
                <w:rFonts w:hint="eastAsia" w:ascii="Times New Roman" w:hAnsi="Times New Roman" w:eastAsia="宋体" w:cs="Times New Roman"/>
              </w:rPr>
              <w:t>，能满足《饮食业油烟排放标准》（GB18483-2001）规定的大型规模标准。</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（2）防治措施</w:t>
            </w:r>
          </w:p>
          <w:p>
            <w:pPr>
              <w:ind w:firstLine="480" w:firstLineChars="200"/>
              <w:rPr>
                <w:rFonts w:eastAsia="宋体"/>
              </w:rPr>
            </w:pPr>
            <w:r>
              <w:rPr>
                <w:rFonts w:hint="eastAsia" w:eastAsia="宋体"/>
              </w:rPr>
              <w:t>1）地下汽车库平时排风，火灾时排烟。排风量按</w:t>
            </w:r>
            <w:r>
              <w:rPr>
                <w:rFonts w:eastAsia="宋体"/>
              </w:rPr>
              <w:t>6</w:t>
            </w:r>
            <w:r>
              <w:rPr>
                <w:rFonts w:hint="eastAsia" w:eastAsia="宋体"/>
              </w:rPr>
              <w:t>次/小时换气，排风、排烟经竖井排出屋面和地面有组织集中排放。</w:t>
            </w:r>
          </w:p>
          <w:p>
            <w:pPr>
              <w:pStyle w:val="16"/>
              <w:ind w:firstLine="480" w:firstLineChars="200"/>
              <w:rPr>
                <w:rFonts w:ascii="Times New Roman" w:hAnsi="Times New Roman" w:eastAsia="宋体"/>
              </w:rPr>
            </w:pPr>
            <w:r>
              <w:rPr>
                <w:rFonts w:hint="eastAsia" w:ascii="Times New Roman" w:hAnsi="Times New Roman" w:eastAsia="宋体"/>
              </w:rPr>
              <w:t>2）本工程餐饮厨房排风均设置油烟净化处理和除味后屋顶排放，排气中油烟含量低于2mg/m</w:t>
            </w:r>
            <w:r>
              <w:rPr>
                <w:rFonts w:hint="eastAsia" w:ascii="Times New Roman" w:hAnsi="Times New Roman" w:eastAsia="宋体"/>
                <w:vertAlign w:val="superscript"/>
              </w:rPr>
              <w:t>3</w:t>
            </w:r>
            <w:r>
              <w:rPr>
                <w:rFonts w:hint="eastAsia" w:ascii="Times New Roman" w:hAnsi="Times New Roman" w:eastAsia="宋体"/>
              </w:rPr>
              <w:t>。厨房设置静电油烟处理装置。处理效率大于85%，油烟排放量满足《饮食业油烟排放标准》GB18483-2001限值要求。排油烟风机设在屋面层。厨房排油烟风管采用不锈钢板，油烟处理量由厨房设备公司提供。油烟井排放口距离主楼等敏感区域10米之外。</w:t>
            </w:r>
          </w:p>
          <w:p>
            <w:pPr>
              <w:ind w:firstLine="480" w:firstLineChars="200"/>
              <w:rPr>
                <w:rFonts w:eastAsia="宋体"/>
              </w:rPr>
            </w:pPr>
            <w:r>
              <w:rPr>
                <w:rFonts w:hint="eastAsia" w:eastAsia="宋体"/>
              </w:rPr>
              <w:t>3）实验室</w:t>
            </w:r>
            <w:r>
              <w:rPr>
                <w:rFonts w:eastAsia="宋体"/>
              </w:rPr>
              <w:t>内设有</w:t>
            </w:r>
            <w:r>
              <w:rPr>
                <w:rFonts w:hint="eastAsia" w:ascii="Times New Roman" w:hAnsi="Times New Roman" w:eastAsia="宋体" w:cs="Times New Roman"/>
                <w:color w:val="auto"/>
                <w:kern w:val="2"/>
                <w:sz w:val="24"/>
                <w:szCs w:val="24"/>
                <w:lang w:val="en-US" w:eastAsia="zh-CN" w:bidi="ar"/>
              </w:rPr>
              <w:t>专门的排毒通风柜，并设专门的风道或竖井将实验室废气引致屋顶高空排放</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排放高度20m</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color w:val="auto"/>
                <w:kern w:val="2"/>
                <w:sz w:val="24"/>
                <w:szCs w:val="24"/>
                <w:lang w:val="en-US" w:eastAsia="zh-CN" w:bidi="ar"/>
              </w:rPr>
              <w:t>。</w:t>
            </w:r>
          </w:p>
          <w:p>
            <w:pPr>
              <w:pStyle w:val="16"/>
              <w:ind w:firstLine="480" w:firstLineChars="200"/>
              <w:rPr>
                <w:rFonts w:ascii="Times New Roman" w:hAnsi="Times New Roman" w:eastAsia="宋体"/>
              </w:rPr>
            </w:pPr>
            <w:r>
              <w:rPr>
                <w:rFonts w:hint="eastAsia" w:ascii="Times New Roman" w:hAnsi="Times New Roman" w:eastAsia="宋体"/>
              </w:rPr>
              <w:t>地下车库汽车尾气排放方式、食堂油烟净化措施以及实验室</w:t>
            </w:r>
            <w:r>
              <w:rPr>
                <w:rFonts w:hint="eastAsia" w:ascii="Times New Roman" w:hAnsi="Times New Roman" w:eastAsia="宋体"/>
                <w:lang w:val="en-US" w:eastAsia="zh-CN"/>
              </w:rPr>
              <w:t>废气排放</w:t>
            </w:r>
            <w:r>
              <w:rPr>
                <w:rFonts w:hint="eastAsia" w:ascii="Times New Roman" w:hAnsi="Times New Roman" w:eastAsia="宋体"/>
              </w:rPr>
              <w:t>措施均为常用的、比较成熟的废气处理措施，从技术角度这些废气防治措施可行。</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3</w:t>
            </w:r>
            <w:r>
              <w:rPr>
                <w:rFonts w:hint="eastAsia" w:ascii="Times New Roman" w:hAnsi="Times New Roman" w:eastAsia="宋体" w:cs="Times New Roman"/>
              </w:rPr>
              <w:t>）非正常工况分析</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地下室车库汽车尾气经收集后排放，实验室废气产生量少。因此，本项目不考虑废气非正常工况。</w:t>
            </w:r>
          </w:p>
          <w:p>
            <w:pPr>
              <w:pStyle w:val="16"/>
              <w:ind w:firstLine="482" w:firstLineChars="200"/>
              <w:rPr>
                <w:rFonts w:ascii="Times New Roman" w:hAnsi="Times New Roman" w:eastAsia="宋体" w:cs="Times New Roman"/>
                <w:b/>
              </w:rPr>
            </w:pPr>
            <w:r>
              <w:rPr>
                <w:rFonts w:hint="eastAsia" w:ascii="Times New Roman" w:hAnsi="Times New Roman" w:eastAsia="宋体" w:cs="Times New Roman"/>
                <w:b/>
              </w:rPr>
              <w:t>2、废水</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（1）源强分析</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本项目营运期主要废水为实验室废水和生活污水。</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1）实验室废水</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本项目建成后设有若干物理、化学和生物实验室。主要的中学（小学主要以演示、观察实验为主，小学生不进行化学动手实验）教学内容为：</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化学实验室：比较不同物质在水中的溶解性、铁、铜、锌与酸反应；探究稀盐酸及稀硫酸的化学性质等化学操作实验。</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物理实验室：测量物体质量、学习用刻度尺测量长度；用弹簧测量力；测量固体、液体密度；探究凸透镜成像特点；测量电路中电流和电压；探究杠杆平衡条件；安装直流电动机模型；测量小灯泡电功率等。</w:t>
            </w:r>
          </w:p>
          <w:p>
            <w:pPr>
              <w:ind w:firstLine="480" w:firstLineChars="200"/>
              <w:rPr>
                <w:rFonts w:eastAsia="宋体"/>
              </w:rPr>
            </w:pPr>
            <w:r>
              <w:rPr>
                <w:rFonts w:hint="eastAsia" w:eastAsia="宋体"/>
              </w:rPr>
              <w:t>生物实验室：观察植物生长过程及对光的适应；动物习性、结构及对环境的适应；了解光学显微镜的结构和使用，观察叶片和果肉细胞；观察根毛和根尖结构、观察茎、叶片结构、了解植物细胞的吸水和失水，观察植物蒸腾作用；了解绿叶在光照下制造淀粉、唾液淀粉酶对淀粉的消化作用等。</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根据建设单位提供资料，实验室产生的实验废液（含废料）、实验室器皿一次清洗废水均作为危险废物收集处置，故项目实验室器皿二次清洗废水水质中不考虑重金属。根据同类型学校类比，实验室器皿二次清洗用水量为2t/d，排水系数按0.9计，则项目实验室废水量为1.8t/d（即</w:t>
            </w:r>
            <w:r>
              <w:rPr>
                <w:rFonts w:ascii="Times New Roman" w:hAnsi="Times New Roman" w:eastAsia="宋体" w:cs="Times New Roman"/>
              </w:rPr>
              <w:t>378</w:t>
            </w:r>
            <w:r>
              <w:rPr>
                <w:rFonts w:hint="eastAsia" w:ascii="Times New Roman" w:hAnsi="Times New Roman" w:eastAsia="宋体" w:cs="Times New Roman"/>
              </w:rPr>
              <w:t>t/a），污染物产生浓度为</w:t>
            </w:r>
            <w:r>
              <w:rPr>
                <w:rFonts w:ascii="Times New Roman" w:hAnsi="Times New Roman" w:eastAsia="宋体" w:cs="Times New Roman"/>
              </w:rPr>
              <w:t>p</w:t>
            </w:r>
            <w:r>
              <w:rPr>
                <w:rFonts w:hint="eastAsia" w:ascii="Times New Roman" w:hAnsi="Times New Roman" w:eastAsia="宋体" w:cs="Times New Roman"/>
              </w:rPr>
              <w:t>H：3-12、COD</w:t>
            </w:r>
            <w:r>
              <w:rPr>
                <w:rFonts w:hint="eastAsia" w:eastAsia="宋体"/>
                <w:vertAlign w:val="subscript"/>
              </w:rPr>
              <w:t>Cr</w:t>
            </w:r>
            <w:r>
              <w:rPr>
                <w:rFonts w:hint="eastAsia" w:ascii="Times New Roman" w:hAnsi="Times New Roman" w:eastAsia="宋体" w:cs="Times New Roman"/>
              </w:rPr>
              <w:t>：200mg/L、氨氮：20mg/L、SS：150mg/L。</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项目在室外设置1座5m</w:t>
            </w:r>
            <w:r>
              <w:rPr>
                <w:rFonts w:hint="eastAsia" w:ascii="Times New Roman" w:hAnsi="Times New Roman" w:eastAsia="宋体" w:cs="Times New Roman"/>
                <w:vertAlign w:val="superscript"/>
              </w:rPr>
              <w:t>3</w:t>
            </w:r>
            <w:r>
              <w:rPr>
                <w:rFonts w:hint="eastAsia" w:ascii="Times New Roman" w:hAnsi="Times New Roman" w:eastAsia="宋体" w:cs="Times New Roman"/>
              </w:rPr>
              <w:t>的中和池，实验室废水经室外酸碱中和池处理后，排至污水管网。</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2）生活污水</w:t>
            </w:r>
          </w:p>
          <w:p>
            <w:pPr>
              <w:ind w:firstLine="480" w:firstLineChars="200"/>
              <w:rPr>
                <w:rFonts w:eastAsia="宋体"/>
              </w:rPr>
            </w:pPr>
            <w:r>
              <w:rPr>
                <w:rFonts w:hint="eastAsia" w:eastAsia="宋体"/>
              </w:rPr>
              <w:t>根据</w:t>
            </w:r>
            <w:r>
              <w:rPr>
                <w:rFonts w:eastAsia="宋体"/>
              </w:rPr>
              <w:t>设计</w:t>
            </w:r>
            <w:r>
              <w:rPr>
                <w:rFonts w:hint="eastAsia" w:eastAsia="宋体"/>
              </w:rPr>
              <w:t>方案</w:t>
            </w:r>
            <w:r>
              <w:rPr>
                <w:rFonts w:eastAsia="宋体"/>
              </w:rPr>
              <w:t>，项目</w:t>
            </w:r>
            <w:r>
              <w:rPr>
                <w:rFonts w:hint="eastAsia" w:eastAsia="宋体"/>
              </w:rPr>
              <w:t>用水</w:t>
            </w:r>
            <w:r>
              <w:rPr>
                <w:rFonts w:eastAsia="宋体"/>
              </w:rPr>
              <w:t>明细表如下。</w:t>
            </w:r>
          </w:p>
          <w:p>
            <w:pPr>
              <w:adjustRightInd w:val="0"/>
              <w:snapToGrid w:val="0"/>
              <w:spacing w:line="240" w:lineRule="auto"/>
              <w:jc w:val="center"/>
              <w:rPr>
                <w:rFonts w:hAnsi="宋体" w:eastAsia="宋体"/>
                <w:b/>
                <w:bCs/>
                <w:sz w:val="21"/>
                <w:szCs w:val="21"/>
              </w:rPr>
            </w:pPr>
            <w:r>
              <w:rPr>
                <w:rFonts w:hint="eastAsia" w:hAnsi="宋体" w:eastAsia="宋体"/>
                <w:b/>
                <w:bCs/>
                <w:sz w:val="21"/>
                <w:szCs w:val="21"/>
              </w:rPr>
              <w:t>表4-5 生活</w:t>
            </w:r>
            <w:r>
              <w:rPr>
                <w:rFonts w:hAnsi="宋体" w:eastAsia="宋体"/>
                <w:b/>
                <w:bCs/>
                <w:sz w:val="21"/>
                <w:szCs w:val="21"/>
              </w:rPr>
              <w:t>用水量汇总表</w:t>
            </w:r>
          </w:p>
          <w:tbl>
            <w:tblPr>
              <w:tblStyle w:val="1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832"/>
              <w:gridCol w:w="1152"/>
              <w:gridCol w:w="617"/>
              <w:gridCol w:w="1328"/>
              <w:gridCol w:w="1429"/>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7" w:type="pct"/>
                  <w:tcMar>
                    <w:left w:w="0" w:type="dxa"/>
                    <w:right w:w="0" w:type="dxa"/>
                  </w:tcMar>
                  <w:vAlign w:val="center"/>
                </w:tcPr>
                <w:p>
                  <w:pPr>
                    <w:adjustRightInd w:val="0"/>
                    <w:snapToGrid w:val="0"/>
                    <w:spacing w:line="240" w:lineRule="auto"/>
                    <w:jc w:val="center"/>
                    <w:rPr>
                      <w:rFonts w:eastAsia="宋体"/>
                      <w:b/>
                      <w:bCs/>
                      <w:sz w:val="21"/>
                      <w:szCs w:val="21"/>
                    </w:rPr>
                  </w:pPr>
                  <w:r>
                    <w:rPr>
                      <w:rFonts w:hAnsi="宋体" w:eastAsia="宋体"/>
                      <w:b/>
                      <w:bCs/>
                      <w:sz w:val="21"/>
                      <w:szCs w:val="21"/>
                    </w:rPr>
                    <w:t>项目</w:t>
                  </w:r>
                </w:p>
              </w:tc>
              <w:tc>
                <w:tcPr>
                  <w:tcW w:w="544" w:type="pct"/>
                  <w:tcMar>
                    <w:left w:w="0" w:type="dxa"/>
                    <w:right w:w="0" w:type="dxa"/>
                  </w:tcMar>
                  <w:vAlign w:val="center"/>
                </w:tcPr>
                <w:p>
                  <w:pPr>
                    <w:adjustRightInd w:val="0"/>
                    <w:snapToGrid w:val="0"/>
                    <w:spacing w:line="240" w:lineRule="auto"/>
                    <w:jc w:val="center"/>
                    <w:rPr>
                      <w:rFonts w:eastAsia="宋体"/>
                      <w:b/>
                      <w:bCs/>
                      <w:sz w:val="21"/>
                      <w:szCs w:val="21"/>
                    </w:rPr>
                  </w:pPr>
                  <w:r>
                    <w:rPr>
                      <w:rFonts w:hAnsi="宋体" w:eastAsia="宋体"/>
                      <w:b/>
                      <w:bCs/>
                      <w:sz w:val="21"/>
                      <w:szCs w:val="21"/>
                    </w:rPr>
                    <w:t>数量</w:t>
                  </w:r>
                </w:p>
              </w:tc>
              <w:tc>
                <w:tcPr>
                  <w:tcW w:w="753" w:type="pct"/>
                  <w:tcMar>
                    <w:left w:w="0" w:type="dxa"/>
                    <w:right w:w="0" w:type="dxa"/>
                  </w:tcMar>
                  <w:vAlign w:val="center"/>
                </w:tcPr>
                <w:p>
                  <w:pPr>
                    <w:adjustRightInd w:val="0"/>
                    <w:snapToGrid w:val="0"/>
                    <w:spacing w:line="240" w:lineRule="auto"/>
                    <w:jc w:val="center"/>
                    <w:rPr>
                      <w:rFonts w:eastAsia="宋体"/>
                      <w:b/>
                      <w:bCs/>
                      <w:sz w:val="21"/>
                      <w:szCs w:val="21"/>
                    </w:rPr>
                  </w:pPr>
                  <w:r>
                    <w:rPr>
                      <w:rFonts w:hAnsi="宋体" w:eastAsia="宋体"/>
                      <w:b/>
                      <w:bCs/>
                      <w:sz w:val="21"/>
                      <w:szCs w:val="21"/>
                    </w:rPr>
                    <w:t>最高日用水量标准</w:t>
                  </w:r>
                </w:p>
              </w:tc>
              <w:tc>
                <w:tcPr>
                  <w:tcW w:w="403" w:type="pct"/>
                  <w:tcMar>
                    <w:left w:w="0" w:type="dxa"/>
                    <w:right w:w="0" w:type="dxa"/>
                  </w:tcMar>
                  <w:vAlign w:val="center"/>
                </w:tcPr>
                <w:p>
                  <w:pPr>
                    <w:adjustRightInd w:val="0"/>
                    <w:snapToGrid w:val="0"/>
                    <w:spacing w:line="240" w:lineRule="auto"/>
                    <w:jc w:val="center"/>
                    <w:rPr>
                      <w:rFonts w:eastAsia="宋体"/>
                      <w:b/>
                      <w:bCs/>
                      <w:sz w:val="21"/>
                      <w:szCs w:val="21"/>
                    </w:rPr>
                  </w:pPr>
                  <w:r>
                    <w:rPr>
                      <w:rFonts w:hAnsi="宋体" w:eastAsia="宋体"/>
                      <w:b/>
                      <w:bCs/>
                      <w:sz w:val="21"/>
                      <w:szCs w:val="21"/>
                    </w:rPr>
                    <w:t>用水天数</w:t>
                  </w:r>
                </w:p>
              </w:tc>
              <w:tc>
                <w:tcPr>
                  <w:tcW w:w="868" w:type="pct"/>
                  <w:tcMar>
                    <w:left w:w="0" w:type="dxa"/>
                    <w:right w:w="0" w:type="dxa"/>
                  </w:tcMar>
                  <w:vAlign w:val="center"/>
                </w:tcPr>
                <w:p>
                  <w:pPr>
                    <w:adjustRightInd w:val="0"/>
                    <w:snapToGrid w:val="0"/>
                    <w:spacing w:line="240" w:lineRule="auto"/>
                    <w:jc w:val="center"/>
                    <w:rPr>
                      <w:rFonts w:eastAsia="宋体"/>
                      <w:b/>
                      <w:bCs/>
                      <w:sz w:val="21"/>
                      <w:szCs w:val="21"/>
                    </w:rPr>
                  </w:pPr>
                  <w:r>
                    <w:rPr>
                      <w:rFonts w:hAnsi="宋体" w:eastAsia="宋体"/>
                      <w:b/>
                      <w:bCs/>
                      <w:sz w:val="21"/>
                      <w:szCs w:val="21"/>
                    </w:rPr>
                    <w:t>日用水量</w:t>
                  </w:r>
                </w:p>
                <w:p>
                  <w:pPr>
                    <w:adjustRightInd w:val="0"/>
                    <w:snapToGrid w:val="0"/>
                    <w:spacing w:line="240" w:lineRule="auto"/>
                    <w:jc w:val="center"/>
                    <w:rPr>
                      <w:rFonts w:eastAsia="宋体"/>
                      <w:b/>
                      <w:bCs/>
                      <w:sz w:val="21"/>
                      <w:szCs w:val="21"/>
                    </w:rPr>
                  </w:pPr>
                  <w:r>
                    <w:rPr>
                      <w:rFonts w:eastAsia="宋体"/>
                      <w:b/>
                      <w:bCs/>
                      <w:sz w:val="21"/>
                      <w:szCs w:val="21"/>
                    </w:rPr>
                    <w:t>m</w:t>
                  </w:r>
                  <w:r>
                    <w:rPr>
                      <w:rFonts w:eastAsia="宋体"/>
                      <w:b/>
                      <w:bCs/>
                      <w:sz w:val="21"/>
                      <w:szCs w:val="21"/>
                      <w:vertAlign w:val="superscript"/>
                    </w:rPr>
                    <w:t>3</w:t>
                  </w:r>
                  <w:r>
                    <w:rPr>
                      <w:rFonts w:eastAsia="宋体"/>
                      <w:b/>
                      <w:bCs/>
                      <w:sz w:val="21"/>
                      <w:szCs w:val="21"/>
                    </w:rPr>
                    <w:t>/d</w:t>
                  </w:r>
                </w:p>
              </w:tc>
              <w:tc>
                <w:tcPr>
                  <w:tcW w:w="934" w:type="pct"/>
                  <w:tcMar>
                    <w:left w:w="0" w:type="dxa"/>
                    <w:right w:w="0" w:type="dxa"/>
                  </w:tcMar>
                  <w:vAlign w:val="center"/>
                </w:tcPr>
                <w:p>
                  <w:pPr>
                    <w:adjustRightInd w:val="0"/>
                    <w:snapToGrid w:val="0"/>
                    <w:spacing w:line="240" w:lineRule="auto"/>
                    <w:jc w:val="center"/>
                    <w:rPr>
                      <w:rFonts w:eastAsia="宋体"/>
                      <w:b/>
                      <w:bCs/>
                      <w:sz w:val="21"/>
                      <w:szCs w:val="21"/>
                    </w:rPr>
                  </w:pPr>
                  <w:r>
                    <w:rPr>
                      <w:rFonts w:hAnsi="宋体" w:eastAsia="宋体"/>
                      <w:b/>
                      <w:bCs/>
                      <w:sz w:val="21"/>
                      <w:szCs w:val="21"/>
                    </w:rPr>
                    <w:t>年用水量</w:t>
                  </w:r>
                </w:p>
                <w:p>
                  <w:pPr>
                    <w:adjustRightInd w:val="0"/>
                    <w:snapToGrid w:val="0"/>
                    <w:spacing w:line="240" w:lineRule="auto"/>
                    <w:jc w:val="center"/>
                    <w:rPr>
                      <w:rFonts w:eastAsia="宋体"/>
                      <w:b/>
                      <w:bCs/>
                      <w:sz w:val="21"/>
                      <w:szCs w:val="21"/>
                    </w:rPr>
                  </w:pPr>
                  <w:r>
                    <w:rPr>
                      <w:rFonts w:eastAsia="宋体"/>
                      <w:b/>
                      <w:bCs/>
                      <w:sz w:val="21"/>
                      <w:szCs w:val="21"/>
                    </w:rPr>
                    <w:t>m</w:t>
                  </w:r>
                  <w:r>
                    <w:rPr>
                      <w:rFonts w:eastAsia="宋体"/>
                      <w:b/>
                      <w:bCs/>
                      <w:sz w:val="21"/>
                      <w:szCs w:val="21"/>
                      <w:vertAlign w:val="superscript"/>
                    </w:rPr>
                    <w:t>3</w:t>
                  </w:r>
                  <w:r>
                    <w:rPr>
                      <w:rFonts w:eastAsia="宋体"/>
                      <w:b/>
                      <w:bCs/>
                      <w:sz w:val="21"/>
                      <w:szCs w:val="21"/>
                    </w:rPr>
                    <w:t>/a</w:t>
                  </w:r>
                </w:p>
              </w:tc>
              <w:tc>
                <w:tcPr>
                  <w:tcW w:w="1132" w:type="pct"/>
                  <w:tcMar>
                    <w:left w:w="0" w:type="dxa"/>
                    <w:right w:w="0" w:type="dxa"/>
                  </w:tcMar>
                  <w:vAlign w:val="center"/>
                </w:tcPr>
                <w:p>
                  <w:pPr>
                    <w:adjustRightInd w:val="0"/>
                    <w:snapToGrid w:val="0"/>
                    <w:spacing w:line="240" w:lineRule="auto"/>
                    <w:jc w:val="center"/>
                    <w:rPr>
                      <w:rFonts w:eastAsia="宋体"/>
                      <w:b/>
                      <w:bCs/>
                      <w:sz w:val="21"/>
                      <w:szCs w:val="21"/>
                    </w:rPr>
                  </w:pPr>
                  <w:r>
                    <w:rPr>
                      <w:rFonts w:hAnsi="宋体" w:eastAsia="宋体"/>
                      <w:b/>
                      <w:bCs/>
                      <w:sz w:val="21"/>
                      <w:szCs w:val="21"/>
                    </w:rPr>
                    <w:t>排水量</w:t>
                  </w:r>
                </w:p>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b/>
                      <w:bCs/>
                      <w:sz w:val="21"/>
                      <w:szCs w:val="21"/>
                    </w:rPr>
                    <w:t>m</w:t>
                  </w:r>
                  <w:r>
                    <w:rPr>
                      <w:rFonts w:ascii="Times New Roman" w:hAnsi="Times New Roman" w:eastAsia="宋体" w:cs="Times New Roman"/>
                      <w:b/>
                      <w:bCs/>
                      <w:sz w:val="21"/>
                      <w:szCs w:val="21"/>
                      <w:vertAlign w:val="superscript"/>
                    </w:rPr>
                    <w:t>3</w:t>
                  </w:r>
                  <w:r>
                    <w:rPr>
                      <w:rFonts w:ascii="Times New Roman" w:hAnsi="Times New Roman" w:eastAsia="宋体" w:cs="Times New Roman"/>
                      <w:b/>
                      <w:bCs/>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7" w:type="pct"/>
                  <w:tcMar>
                    <w:left w:w="0" w:type="dxa"/>
                    <w:right w:w="0" w:type="dxa"/>
                  </w:tcMar>
                  <w:vAlign w:val="center"/>
                </w:tcPr>
                <w:p>
                  <w:pPr>
                    <w:adjustRightInd w:val="0"/>
                    <w:snapToGrid w:val="0"/>
                    <w:spacing w:line="240" w:lineRule="auto"/>
                    <w:jc w:val="center"/>
                    <w:rPr>
                      <w:rFonts w:eastAsia="宋体"/>
                      <w:sz w:val="21"/>
                      <w:szCs w:val="21"/>
                    </w:rPr>
                  </w:pPr>
                  <w:r>
                    <w:rPr>
                      <w:rFonts w:hAnsi="宋体" w:eastAsia="宋体"/>
                      <w:sz w:val="21"/>
                      <w:szCs w:val="21"/>
                    </w:rPr>
                    <w:t>食堂</w:t>
                  </w:r>
                </w:p>
              </w:tc>
              <w:tc>
                <w:tcPr>
                  <w:tcW w:w="544" w:type="pct"/>
                  <w:tcMar>
                    <w:left w:w="0" w:type="dxa"/>
                    <w:right w:w="0" w:type="dxa"/>
                  </w:tcMar>
                  <w:vAlign w:val="center"/>
                </w:tcPr>
                <w:p>
                  <w:pPr>
                    <w:adjustRightInd w:val="0"/>
                    <w:snapToGrid w:val="0"/>
                    <w:spacing w:line="240" w:lineRule="auto"/>
                    <w:jc w:val="center"/>
                    <w:rPr>
                      <w:rFonts w:eastAsia="宋体"/>
                      <w:sz w:val="21"/>
                      <w:szCs w:val="21"/>
                    </w:rPr>
                  </w:pPr>
                  <w:r>
                    <w:rPr>
                      <w:rFonts w:eastAsia="宋体"/>
                      <w:sz w:val="21"/>
                      <w:szCs w:val="21"/>
                    </w:rPr>
                    <w:t>2567</w:t>
                  </w:r>
                  <w:r>
                    <w:rPr>
                      <w:rFonts w:hAnsi="宋体" w:eastAsia="宋体"/>
                      <w:sz w:val="21"/>
                      <w:szCs w:val="21"/>
                    </w:rPr>
                    <w:t>人</w:t>
                  </w:r>
                </w:p>
              </w:tc>
              <w:tc>
                <w:tcPr>
                  <w:tcW w:w="753" w:type="pct"/>
                  <w:tcMar>
                    <w:left w:w="0" w:type="dxa"/>
                    <w:right w:w="0" w:type="dxa"/>
                  </w:tcMar>
                  <w:vAlign w:val="center"/>
                </w:tcPr>
                <w:p>
                  <w:pPr>
                    <w:adjustRightInd w:val="0"/>
                    <w:snapToGrid w:val="0"/>
                    <w:spacing w:line="240" w:lineRule="auto"/>
                    <w:jc w:val="center"/>
                    <w:rPr>
                      <w:rFonts w:eastAsia="宋体"/>
                      <w:sz w:val="21"/>
                      <w:szCs w:val="21"/>
                    </w:rPr>
                  </w:pPr>
                  <w:r>
                    <w:rPr>
                      <w:rFonts w:hint="eastAsia" w:eastAsia="宋体"/>
                      <w:sz w:val="21"/>
                      <w:szCs w:val="21"/>
                    </w:rPr>
                    <w:t>15</w:t>
                  </w:r>
                  <w:r>
                    <w:rPr>
                      <w:rFonts w:eastAsia="宋体"/>
                      <w:sz w:val="21"/>
                      <w:szCs w:val="21"/>
                    </w:rPr>
                    <w:t>L/</w:t>
                  </w:r>
                  <w:r>
                    <w:rPr>
                      <w:rFonts w:hAnsi="宋体" w:eastAsia="宋体"/>
                      <w:sz w:val="21"/>
                      <w:szCs w:val="21"/>
                    </w:rPr>
                    <w:t>人</w:t>
                  </w:r>
                  <w:r>
                    <w:rPr>
                      <w:rFonts w:eastAsia="宋体"/>
                      <w:sz w:val="21"/>
                      <w:szCs w:val="21"/>
                    </w:rPr>
                    <w:t>·d</w:t>
                  </w:r>
                </w:p>
              </w:tc>
              <w:tc>
                <w:tcPr>
                  <w:tcW w:w="403" w:type="pct"/>
                  <w:tcMar>
                    <w:left w:w="0" w:type="dxa"/>
                    <w:right w:w="0" w:type="dxa"/>
                  </w:tcMar>
                  <w:vAlign w:val="center"/>
                </w:tcPr>
                <w:p>
                  <w:pPr>
                    <w:adjustRightInd w:val="0"/>
                    <w:snapToGrid w:val="0"/>
                    <w:spacing w:line="240" w:lineRule="auto"/>
                    <w:jc w:val="center"/>
                    <w:rPr>
                      <w:rFonts w:eastAsia="宋体"/>
                      <w:sz w:val="21"/>
                      <w:szCs w:val="21"/>
                    </w:rPr>
                  </w:pPr>
                  <w:r>
                    <w:rPr>
                      <w:rFonts w:hint="eastAsia" w:eastAsia="宋体"/>
                      <w:sz w:val="21"/>
                      <w:szCs w:val="21"/>
                    </w:rPr>
                    <w:t>210</w:t>
                  </w:r>
                </w:p>
              </w:tc>
              <w:tc>
                <w:tcPr>
                  <w:tcW w:w="868" w:type="pct"/>
                  <w:tcMar>
                    <w:left w:w="0" w:type="dxa"/>
                    <w:right w:w="0" w:type="dxa"/>
                  </w:tcMar>
                  <w:vAlign w:val="center"/>
                </w:tcPr>
                <w:p>
                  <w:pPr>
                    <w:adjustRightInd w:val="0"/>
                    <w:snapToGrid w:val="0"/>
                    <w:spacing w:line="240" w:lineRule="auto"/>
                    <w:jc w:val="center"/>
                    <w:rPr>
                      <w:rFonts w:eastAsia="宋体"/>
                      <w:sz w:val="21"/>
                      <w:szCs w:val="21"/>
                    </w:rPr>
                  </w:pPr>
                  <w:r>
                    <w:rPr>
                      <w:rFonts w:hint="eastAsia" w:eastAsia="宋体"/>
                      <w:sz w:val="21"/>
                      <w:szCs w:val="21"/>
                    </w:rPr>
                    <w:t>38.5</w:t>
                  </w:r>
                </w:p>
              </w:tc>
              <w:tc>
                <w:tcPr>
                  <w:tcW w:w="934" w:type="pct"/>
                  <w:tcMar>
                    <w:left w:w="0" w:type="dxa"/>
                    <w:right w:w="0" w:type="dxa"/>
                  </w:tcMar>
                  <w:vAlign w:val="center"/>
                </w:tcPr>
                <w:p>
                  <w:pPr>
                    <w:adjustRightInd w:val="0"/>
                    <w:snapToGrid w:val="0"/>
                    <w:spacing w:line="240" w:lineRule="auto"/>
                    <w:jc w:val="center"/>
                    <w:rPr>
                      <w:rFonts w:eastAsia="宋体"/>
                      <w:sz w:val="21"/>
                      <w:szCs w:val="21"/>
                    </w:rPr>
                  </w:pPr>
                  <w:r>
                    <w:rPr>
                      <w:rFonts w:hint="eastAsia" w:eastAsia="宋体"/>
                      <w:sz w:val="21"/>
                      <w:szCs w:val="21"/>
                    </w:rPr>
                    <w:t>8086.05</w:t>
                  </w:r>
                </w:p>
              </w:tc>
              <w:tc>
                <w:tcPr>
                  <w:tcW w:w="1132" w:type="pct"/>
                  <w:tcMar>
                    <w:left w:w="0" w:type="dxa"/>
                    <w:right w:w="0" w:type="dxa"/>
                  </w:tcMar>
                  <w:vAlign w:val="center"/>
                </w:tcPr>
                <w:p>
                  <w:pPr>
                    <w:adjustRightInd w:val="0"/>
                    <w:snapToGrid w:val="0"/>
                    <w:spacing w:line="240" w:lineRule="auto"/>
                    <w:jc w:val="center"/>
                    <w:rPr>
                      <w:rFonts w:eastAsia="宋体"/>
                      <w:sz w:val="21"/>
                      <w:szCs w:val="21"/>
                    </w:rPr>
                  </w:pPr>
                  <w:r>
                    <w:rPr>
                      <w:rFonts w:hint="eastAsia" w:eastAsia="宋体"/>
                      <w:sz w:val="21"/>
                      <w:szCs w:val="21"/>
                    </w:rPr>
                    <w:t>6873.14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7" w:type="pct"/>
                  <w:tcMar>
                    <w:left w:w="0" w:type="dxa"/>
                    <w:right w:w="0" w:type="dxa"/>
                  </w:tcMar>
                  <w:vAlign w:val="center"/>
                </w:tcPr>
                <w:p>
                  <w:pPr>
                    <w:adjustRightInd w:val="0"/>
                    <w:snapToGrid w:val="0"/>
                    <w:spacing w:line="240" w:lineRule="auto"/>
                    <w:jc w:val="center"/>
                    <w:rPr>
                      <w:rFonts w:eastAsia="宋体"/>
                      <w:sz w:val="21"/>
                      <w:szCs w:val="21"/>
                    </w:rPr>
                  </w:pPr>
                  <w:r>
                    <w:rPr>
                      <w:rFonts w:hAnsi="宋体" w:eastAsia="宋体"/>
                      <w:sz w:val="21"/>
                      <w:szCs w:val="21"/>
                    </w:rPr>
                    <w:t>学生</w:t>
                  </w:r>
                </w:p>
              </w:tc>
              <w:tc>
                <w:tcPr>
                  <w:tcW w:w="544" w:type="pct"/>
                  <w:tcMar>
                    <w:left w:w="0" w:type="dxa"/>
                    <w:right w:w="0" w:type="dxa"/>
                  </w:tcMar>
                  <w:vAlign w:val="center"/>
                </w:tcPr>
                <w:p>
                  <w:pPr>
                    <w:adjustRightInd w:val="0"/>
                    <w:snapToGrid w:val="0"/>
                    <w:spacing w:line="240" w:lineRule="auto"/>
                    <w:jc w:val="center"/>
                    <w:rPr>
                      <w:rFonts w:eastAsia="宋体"/>
                      <w:sz w:val="21"/>
                      <w:szCs w:val="21"/>
                    </w:rPr>
                  </w:pPr>
                  <w:r>
                    <w:rPr>
                      <w:rFonts w:eastAsia="宋体"/>
                      <w:sz w:val="21"/>
                      <w:szCs w:val="21"/>
                    </w:rPr>
                    <w:t>2430</w:t>
                  </w:r>
                  <w:r>
                    <w:rPr>
                      <w:rFonts w:hAnsi="宋体" w:eastAsia="宋体"/>
                      <w:sz w:val="21"/>
                      <w:szCs w:val="21"/>
                    </w:rPr>
                    <w:t>人</w:t>
                  </w:r>
                </w:p>
              </w:tc>
              <w:tc>
                <w:tcPr>
                  <w:tcW w:w="753" w:type="pct"/>
                  <w:tcMar>
                    <w:left w:w="0" w:type="dxa"/>
                    <w:right w:w="0" w:type="dxa"/>
                  </w:tcMar>
                  <w:vAlign w:val="center"/>
                </w:tcPr>
                <w:p>
                  <w:pPr>
                    <w:adjustRightInd w:val="0"/>
                    <w:snapToGrid w:val="0"/>
                    <w:spacing w:line="240" w:lineRule="auto"/>
                    <w:jc w:val="center"/>
                    <w:rPr>
                      <w:rFonts w:eastAsia="宋体"/>
                      <w:sz w:val="21"/>
                      <w:szCs w:val="21"/>
                    </w:rPr>
                  </w:pPr>
                  <w:r>
                    <w:rPr>
                      <w:rFonts w:hint="eastAsia" w:eastAsia="宋体"/>
                      <w:sz w:val="21"/>
                      <w:szCs w:val="21"/>
                    </w:rPr>
                    <w:t>2</w:t>
                  </w:r>
                  <w:r>
                    <w:rPr>
                      <w:rFonts w:eastAsia="宋体"/>
                      <w:sz w:val="21"/>
                      <w:szCs w:val="21"/>
                    </w:rPr>
                    <w:t>5L/</w:t>
                  </w:r>
                  <w:r>
                    <w:rPr>
                      <w:rFonts w:hAnsi="宋体" w:eastAsia="宋体"/>
                      <w:sz w:val="21"/>
                      <w:szCs w:val="21"/>
                    </w:rPr>
                    <w:t>人</w:t>
                  </w:r>
                  <w:r>
                    <w:rPr>
                      <w:rFonts w:eastAsia="宋体"/>
                      <w:sz w:val="21"/>
                      <w:szCs w:val="21"/>
                      <w:shd w:val="clear" w:color="auto" w:fill="FFFFFF"/>
                    </w:rPr>
                    <w:t>·</w:t>
                  </w:r>
                  <w:r>
                    <w:rPr>
                      <w:rFonts w:eastAsia="宋体"/>
                      <w:sz w:val="21"/>
                      <w:szCs w:val="21"/>
                    </w:rPr>
                    <w:t>d</w:t>
                  </w:r>
                </w:p>
              </w:tc>
              <w:tc>
                <w:tcPr>
                  <w:tcW w:w="403" w:type="pct"/>
                  <w:tcMar>
                    <w:left w:w="0" w:type="dxa"/>
                    <w:right w:w="0" w:type="dxa"/>
                  </w:tcMar>
                  <w:vAlign w:val="center"/>
                </w:tcPr>
                <w:p>
                  <w:pPr>
                    <w:adjustRightInd w:val="0"/>
                    <w:snapToGrid w:val="0"/>
                    <w:spacing w:line="240" w:lineRule="auto"/>
                    <w:jc w:val="center"/>
                    <w:rPr>
                      <w:rFonts w:eastAsia="宋体"/>
                      <w:sz w:val="21"/>
                      <w:szCs w:val="21"/>
                    </w:rPr>
                  </w:pPr>
                  <w:r>
                    <w:rPr>
                      <w:rFonts w:hint="eastAsia" w:eastAsia="宋体"/>
                      <w:sz w:val="21"/>
                      <w:szCs w:val="21"/>
                    </w:rPr>
                    <w:t>210</w:t>
                  </w:r>
                </w:p>
              </w:tc>
              <w:tc>
                <w:tcPr>
                  <w:tcW w:w="868" w:type="pct"/>
                  <w:tcMar>
                    <w:left w:w="0" w:type="dxa"/>
                    <w:right w:w="0" w:type="dxa"/>
                  </w:tcMar>
                  <w:vAlign w:val="center"/>
                </w:tcPr>
                <w:p>
                  <w:pPr>
                    <w:adjustRightInd w:val="0"/>
                    <w:snapToGrid w:val="0"/>
                    <w:spacing w:line="240" w:lineRule="auto"/>
                    <w:jc w:val="center"/>
                    <w:rPr>
                      <w:rFonts w:eastAsia="宋体"/>
                      <w:sz w:val="21"/>
                      <w:szCs w:val="21"/>
                    </w:rPr>
                  </w:pPr>
                  <w:r>
                    <w:rPr>
                      <w:rFonts w:hint="eastAsia" w:eastAsia="宋体"/>
                      <w:sz w:val="21"/>
                      <w:szCs w:val="21"/>
                    </w:rPr>
                    <w:t>60.75</w:t>
                  </w:r>
                </w:p>
              </w:tc>
              <w:tc>
                <w:tcPr>
                  <w:tcW w:w="934" w:type="pct"/>
                  <w:tcMar>
                    <w:left w:w="0" w:type="dxa"/>
                    <w:right w:w="0" w:type="dxa"/>
                  </w:tcMar>
                  <w:vAlign w:val="center"/>
                </w:tcPr>
                <w:p>
                  <w:pPr>
                    <w:adjustRightInd w:val="0"/>
                    <w:snapToGrid w:val="0"/>
                    <w:spacing w:line="240" w:lineRule="auto"/>
                    <w:jc w:val="center"/>
                    <w:rPr>
                      <w:rFonts w:eastAsia="宋体"/>
                      <w:sz w:val="21"/>
                      <w:szCs w:val="21"/>
                    </w:rPr>
                  </w:pPr>
                  <w:r>
                    <w:rPr>
                      <w:rFonts w:hint="eastAsia" w:eastAsia="宋体"/>
                      <w:sz w:val="21"/>
                      <w:szCs w:val="21"/>
                    </w:rPr>
                    <w:t>12757.5</w:t>
                  </w:r>
                </w:p>
              </w:tc>
              <w:tc>
                <w:tcPr>
                  <w:tcW w:w="1132" w:type="pct"/>
                  <w:tcMar>
                    <w:left w:w="0" w:type="dxa"/>
                    <w:right w:w="0" w:type="dxa"/>
                  </w:tcMar>
                  <w:vAlign w:val="center"/>
                </w:tcPr>
                <w:p>
                  <w:pPr>
                    <w:adjustRightInd w:val="0"/>
                    <w:snapToGrid w:val="0"/>
                    <w:spacing w:line="240" w:lineRule="auto"/>
                    <w:jc w:val="center"/>
                    <w:rPr>
                      <w:rFonts w:eastAsia="宋体"/>
                      <w:sz w:val="21"/>
                      <w:szCs w:val="21"/>
                    </w:rPr>
                  </w:pPr>
                  <w:r>
                    <w:rPr>
                      <w:rFonts w:hint="eastAsia" w:eastAsia="宋体"/>
                      <w:sz w:val="21"/>
                      <w:szCs w:val="21"/>
                    </w:rPr>
                    <w:t>10843.875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7" w:type="pct"/>
                  <w:tcMar>
                    <w:left w:w="0" w:type="dxa"/>
                    <w:right w:w="0" w:type="dxa"/>
                  </w:tcMar>
                  <w:vAlign w:val="center"/>
                </w:tcPr>
                <w:p>
                  <w:pPr>
                    <w:adjustRightInd w:val="0"/>
                    <w:snapToGrid w:val="0"/>
                    <w:spacing w:line="240" w:lineRule="auto"/>
                    <w:jc w:val="center"/>
                    <w:rPr>
                      <w:rFonts w:eastAsia="宋体"/>
                      <w:sz w:val="21"/>
                      <w:szCs w:val="21"/>
                    </w:rPr>
                  </w:pPr>
                  <w:r>
                    <w:rPr>
                      <w:rFonts w:hAnsi="宋体" w:eastAsia="宋体"/>
                      <w:sz w:val="21"/>
                      <w:szCs w:val="21"/>
                    </w:rPr>
                    <w:t>教师</w:t>
                  </w:r>
                </w:p>
              </w:tc>
              <w:tc>
                <w:tcPr>
                  <w:tcW w:w="544" w:type="pct"/>
                  <w:tcMar>
                    <w:left w:w="0" w:type="dxa"/>
                    <w:right w:w="0" w:type="dxa"/>
                  </w:tcMar>
                  <w:vAlign w:val="center"/>
                </w:tcPr>
                <w:p>
                  <w:pPr>
                    <w:adjustRightInd w:val="0"/>
                    <w:snapToGrid w:val="0"/>
                    <w:spacing w:line="240" w:lineRule="auto"/>
                    <w:jc w:val="center"/>
                    <w:rPr>
                      <w:rFonts w:eastAsia="宋体"/>
                      <w:sz w:val="21"/>
                      <w:szCs w:val="21"/>
                    </w:rPr>
                  </w:pPr>
                  <w:r>
                    <w:rPr>
                      <w:rFonts w:eastAsia="宋体"/>
                      <w:sz w:val="21"/>
                      <w:szCs w:val="21"/>
                    </w:rPr>
                    <w:t>1</w:t>
                  </w:r>
                  <w:r>
                    <w:rPr>
                      <w:rFonts w:hint="eastAsia" w:eastAsia="宋体"/>
                      <w:sz w:val="21"/>
                      <w:szCs w:val="21"/>
                    </w:rPr>
                    <w:t>37</w:t>
                  </w:r>
                  <w:r>
                    <w:rPr>
                      <w:rFonts w:hAnsi="宋体" w:eastAsia="宋体"/>
                      <w:sz w:val="21"/>
                      <w:szCs w:val="21"/>
                    </w:rPr>
                    <w:t>人</w:t>
                  </w:r>
                </w:p>
              </w:tc>
              <w:tc>
                <w:tcPr>
                  <w:tcW w:w="753" w:type="pct"/>
                  <w:tcMar>
                    <w:left w:w="0" w:type="dxa"/>
                    <w:right w:w="0" w:type="dxa"/>
                  </w:tcMar>
                  <w:vAlign w:val="center"/>
                </w:tcPr>
                <w:p>
                  <w:pPr>
                    <w:adjustRightInd w:val="0"/>
                    <w:snapToGrid w:val="0"/>
                    <w:spacing w:line="240" w:lineRule="auto"/>
                    <w:jc w:val="center"/>
                    <w:rPr>
                      <w:rFonts w:eastAsia="宋体"/>
                      <w:sz w:val="21"/>
                      <w:szCs w:val="21"/>
                    </w:rPr>
                  </w:pPr>
                  <w:r>
                    <w:rPr>
                      <w:rFonts w:hint="eastAsia" w:eastAsia="宋体"/>
                      <w:sz w:val="21"/>
                      <w:szCs w:val="21"/>
                    </w:rPr>
                    <w:t>2</w:t>
                  </w:r>
                  <w:r>
                    <w:rPr>
                      <w:rFonts w:eastAsia="宋体"/>
                      <w:sz w:val="21"/>
                      <w:szCs w:val="21"/>
                    </w:rPr>
                    <w:t>5L/</w:t>
                  </w:r>
                  <w:r>
                    <w:rPr>
                      <w:rFonts w:hAnsi="宋体" w:eastAsia="宋体"/>
                      <w:sz w:val="21"/>
                      <w:szCs w:val="21"/>
                    </w:rPr>
                    <w:t>人</w:t>
                  </w:r>
                  <w:r>
                    <w:rPr>
                      <w:rFonts w:eastAsia="宋体"/>
                      <w:sz w:val="21"/>
                      <w:szCs w:val="21"/>
                      <w:shd w:val="clear" w:color="auto" w:fill="FFFFFF"/>
                    </w:rPr>
                    <w:t>·</w:t>
                  </w:r>
                  <w:r>
                    <w:rPr>
                      <w:rFonts w:eastAsia="宋体"/>
                      <w:sz w:val="21"/>
                      <w:szCs w:val="21"/>
                    </w:rPr>
                    <w:t>d</w:t>
                  </w:r>
                </w:p>
              </w:tc>
              <w:tc>
                <w:tcPr>
                  <w:tcW w:w="403" w:type="pct"/>
                  <w:tcMar>
                    <w:left w:w="0" w:type="dxa"/>
                    <w:right w:w="0" w:type="dxa"/>
                  </w:tcMar>
                  <w:vAlign w:val="center"/>
                </w:tcPr>
                <w:p>
                  <w:pPr>
                    <w:adjustRightInd w:val="0"/>
                    <w:snapToGrid w:val="0"/>
                    <w:spacing w:line="240" w:lineRule="auto"/>
                    <w:jc w:val="center"/>
                    <w:rPr>
                      <w:rFonts w:eastAsia="宋体"/>
                      <w:sz w:val="21"/>
                      <w:szCs w:val="21"/>
                    </w:rPr>
                  </w:pPr>
                  <w:r>
                    <w:rPr>
                      <w:rFonts w:hint="eastAsia" w:eastAsia="宋体"/>
                      <w:sz w:val="21"/>
                      <w:szCs w:val="21"/>
                    </w:rPr>
                    <w:t>210</w:t>
                  </w:r>
                </w:p>
              </w:tc>
              <w:tc>
                <w:tcPr>
                  <w:tcW w:w="868" w:type="pct"/>
                  <w:tcMar>
                    <w:left w:w="0" w:type="dxa"/>
                    <w:right w:w="0" w:type="dxa"/>
                  </w:tcMar>
                  <w:vAlign w:val="center"/>
                </w:tcPr>
                <w:p>
                  <w:pPr>
                    <w:adjustRightInd w:val="0"/>
                    <w:snapToGrid w:val="0"/>
                    <w:spacing w:line="240" w:lineRule="auto"/>
                    <w:jc w:val="center"/>
                    <w:rPr>
                      <w:rFonts w:eastAsia="宋体"/>
                      <w:sz w:val="21"/>
                      <w:szCs w:val="21"/>
                    </w:rPr>
                  </w:pPr>
                  <w:r>
                    <w:rPr>
                      <w:rFonts w:hint="eastAsia" w:eastAsia="宋体"/>
                      <w:sz w:val="21"/>
                      <w:szCs w:val="21"/>
                    </w:rPr>
                    <w:t>3.425</w:t>
                  </w:r>
                </w:p>
              </w:tc>
              <w:tc>
                <w:tcPr>
                  <w:tcW w:w="934" w:type="pct"/>
                  <w:tcMar>
                    <w:left w:w="0" w:type="dxa"/>
                    <w:right w:w="0" w:type="dxa"/>
                  </w:tcMar>
                  <w:vAlign w:val="center"/>
                </w:tcPr>
                <w:p>
                  <w:pPr>
                    <w:adjustRightInd w:val="0"/>
                    <w:snapToGrid w:val="0"/>
                    <w:spacing w:line="240" w:lineRule="auto"/>
                    <w:jc w:val="center"/>
                    <w:rPr>
                      <w:rFonts w:eastAsia="宋体"/>
                      <w:sz w:val="21"/>
                      <w:szCs w:val="21"/>
                    </w:rPr>
                  </w:pPr>
                  <w:r>
                    <w:rPr>
                      <w:rFonts w:hint="eastAsia" w:eastAsia="宋体"/>
                      <w:sz w:val="21"/>
                      <w:szCs w:val="21"/>
                    </w:rPr>
                    <w:t>719.25</w:t>
                  </w:r>
                </w:p>
              </w:tc>
              <w:tc>
                <w:tcPr>
                  <w:tcW w:w="1132" w:type="pct"/>
                  <w:tcMar>
                    <w:left w:w="0" w:type="dxa"/>
                    <w:right w:w="0" w:type="dxa"/>
                  </w:tcMar>
                  <w:vAlign w:val="center"/>
                </w:tcPr>
                <w:p>
                  <w:pPr>
                    <w:adjustRightInd w:val="0"/>
                    <w:snapToGrid w:val="0"/>
                    <w:spacing w:line="240" w:lineRule="auto"/>
                    <w:jc w:val="center"/>
                    <w:rPr>
                      <w:rFonts w:eastAsia="宋体"/>
                      <w:sz w:val="21"/>
                      <w:szCs w:val="21"/>
                    </w:rPr>
                  </w:pPr>
                  <w:r>
                    <w:rPr>
                      <w:rFonts w:hint="eastAsia" w:eastAsia="宋体"/>
                      <w:sz w:val="21"/>
                      <w:szCs w:val="21"/>
                    </w:rPr>
                    <w:t>611.363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7" w:type="pct"/>
                  <w:tcMar>
                    <w:left w:w="0" w:type="dxa"/>
                    <w:right w:w="0" w:type="dxa"/>
                  </w:tcMar>
                  <w:vAlign w:val="center"/>
                </w:tcPr>
                <w:p>
                  <w:pPr>
                    <w:adjustRightInd w:val="0"/>
                    <w:snapToGrid w:val="0"/>
                    <w:spacing w:line="240" w:lineRule="auto"/>
                    <w:jc w:val="center"/>
                    <w:rPr>
                      <w:rFonts w:eastAsia="宋体"/>
                      <w:sz w:val="21"/>
                      <w:szCs w:val="21"/>
                    </w:rPr>
                  </w:pPr>
                  <w:r>
                    <w:rPr>
                      <w:rFonts w:hAnsi="宋体" w:eastAsia="宋体"/>
                      <w:sz w:val="21"/>
                      <w:szCs w:val="21"/>
                    </w:rPr>
                    <w:t>合计</w:t>
                  </w:r>
                </w:p>
              </w:tc>
              <w:tc>
                <w:tcPr>
                  <w:tcW w:w="544" w:type="pct"/>
                  <w:tcMar>
                    <w:left w:w="0" w:type="dxa"/>
                    <w:right w:w="0" w:type="dxa"/>
                  </w:tcMar>
                  <w:vAlign w:val="center"/>
                </w:tcPr>
                <w:p>
                  <w:pPr>
                    <w:adjustRightInd w:val="0"/>
                    <w:snapToGrid w:val="0"/>
                    <w:spacing w:line="240" w:lineRule="auto"/>
                    <w:jc w:val="center"/>
                    <w:rPr>
                      <w:rFonts w:eastAsia="宋体"/>
                      <w:sz w:val="21"/>
                      <w:szCs w:val="21"/>
                    </w:rPr>
                  </w:pPr>
                  <w:r>
                    <w:rPr>
                      <w:rFonts w:eastAsia="宋体"/>
                      <w:sz w:val="21"/>
                      <w:szCs w:val="21"/>
                    </w:rPr>
                    <w:t>/</w:t>
                  </w:r>
                </w:p>
              </w:tc>
              <w:tc>
                <w:tcPr>
                  <w:tcW w:w="753" w:type="pct"/>
                  <w:tcMar>
                    <w:left w:w="0" w:type="dxa"/>
                    <w:right w:w="0" w:type="dxa"/>
                  </w:tcMar>
                  <w:vAlign w:val="center"/>
                </w:tcPr>
                <w:p>
                  <w:pPr>
                    <w:adjustRightInd w:val="0"/>
                    <w:snapToGrid w:val="0"/>
                    <w:spacing w:line="240" w:lineRule="auto"/>
                    <w:jc w:val="center"/>
                    <w:rPr>
                      <w:rFonts w:eastAsia="宋体"/>
                      <w:sz w:val="21"/>
                      <w:szCs w:val="21"/>
                    </w:rPr>
                  </w:pPr>
                  <w:r>
                    <w:rPr>
                      <w:rFonts w:eastAsia="宋体"/>
                      <w:sz w:val="21"/>
                      <w:szCs w:val="21"/>
                    </w:rPr>
                    <w:t>/</w:t>
                  </w:r>
                </w:p>
              </w:tc>
              <w:tc>
                <w:tcPr>
                  <w:tcW w:w="403" w:type="pct"/>
                  <w:tcMar>
                    <w:left w:w="0" w:type="dxa"/>
                    <w:right w:w="0" w:type="dxa"/>
                  </w:tcMar>
                  <w:vAlign w:val="center"/>
                </w:tcPr>
                <w:p>
                  <w:pPr>
                    <w:adjustRightInd w:val="0"/>
                    <w:snapToGrid w:val="0"/>
                    <w:spacing w:line="240" w:lineRule="auto"/>
                    <w:jc w:val="center"/>
                    <w:rPr>
                      <w:rFonts w:eastAsia="宋体"/>
                      <w:sz w:val="21"/>
                      <w:szCs w:val="21"/>
                    </w:rPr>
                  </w:pPr>
                </w:p>
              </w:tc>
              <w:tc>
                <w:tcPr>
                  <w:tcW w:w="868" w:type="pct"/>
                  <w:tcMar>
                    <w:left w:w="0" w:type="dxa"/>
                    <w:right w:w="0" w:type="dxa"/>
                  </w:tcMar>
                  <w:vAlign w:val="center"/>
                </w:tcPr>
                <w:p>
                  <w:pPr>
                    <w:spacing w:line="240" w:lineRule="auto"/>
                    <w:jc w:val="center"/>
                    <w:rPr>
                      <w:rFonts w:eastAsia="宋体"/>
                      <w:sz w:val="21"/>
                      <w:szCs w:val="21"/>
                    </w:rPr>
                  </w:pPr>
                  <w:r>
                    <w:rPr>
                      <w:rFonts w:eastAsia="宋体"/>
                      <w:sz w:val="21"/>
                      <w:szCs w:val="21"/>
                    </w:rPr>
                    <w:fldChar w:fldCharType="begin"/>
                  </w:r>
                  <w:r>
                    <w:rPr>
                      <w:rFonts w:eastAsia="宋体"/>
                      <w:sz w:val="21"/>
                      <w:szCs w:val="21"/>
                    </w:rPr>
                    <w:instrText xml:space="preserve"> = sum(E2:E4) \* MERGEFORMAT </w:instrText>
                  </w:r>
                  <w:r>
                    <w:rPr>
                      <w:rFonts w:eastAsia="宋体"/>
                      <w:sz w:val="21"/>
                      <w:szCs w:val="21"/>
                    </w:rPr>
                    <w:fldChar w:fldCharType="separate"/>
                  </w:r>
                  <w:r>
                    <w:rPr>
                      <w:rFonts w:eastAsia="宋体"/>
                      <w:sz w:val="21"/>
                      <w:szCs w:val="21"/>
                    </w:rPr>
                    <w:t>102.675</w:t>
                  </w:r>
                  <w:r>
                    <w:rPr>
                      <w:rFonts w:eastAsia="宋体"/>
                      <w:sz w:val="21"/>
                      <w:szCs w:val="21"/>
                    </w:rPr>
                    <w:fldChar w:fldCharType="end"/>
                  </w:r>
                </w:p>
              </w:tc>
              <w:tc>
                <w:tcPr>
                  <w:tcW w:w="934" w:type="pct"/>
                  <w:tcMar>
                    <w:left w:w="0" w:type="dxa"/>
                    <w:right w:w="0" w:type="dxa"/>
                  </w:tcMar>
                  <w:vAlign w:val="center"/>
                </w:tcPr>
                <w:p>
                  <w:pPr>
                    <w:spacing w:line="240" w:lineRule="auto"/>
                    <w:jc w:val="center"/>
                    <w:rPr>
                      <w:rFonts w:eastAsia="宋体"/>
                      <w:sz w:val="21"/>
                      <w:szCs w:val="21"/>
                    </w:rPr>
                  </w:pPr>
                  <w:r>
                    <w:rPr>
                      <w:rFonts w:eastAsia="宋体"/>
                      <w:sz w:val="21"/>
                      <w:szCs w:val="21"/>
                    </w:rPr>
                    <w:fldChar w:fldCharType="begin"/>
                  </w:r>
                  <w:r>
                    <w:rPr>
                      <w:rFonts w:eastAsia="宋体"/>
                      <w:sz w:val="21"/>
                      <w:szCs w:val="21"/>
                    </w:rPr>
                    <w:instrText xml:space="preserve"> = sum(F2:F4) \* MERGEFORMAT </w:instrText>
                  </w:r>
                  <w:r>
                    <w:rPr>
                      <w:rFonts w:eastAsia="宋体"/>
                      <w:sz w:val="21"/>
                      <w:szCs w:val="21"/>
                    </w:rPr>
                    <w:fldChar w:fldCharType="separate"/>
                  </w:r>
                  <w:r>
                    <w:rPr>
                      <w:rFonts w:eastAsia="宋体"/>
                      <w:sz w:val="21"/>
                      <w:szCs w:val="21"/>
                    </w:rPr>
                    <w:t>21562.8</w:t>
                  </w:r>
                  <w:r>
                    <w:rPr>
                      <w:rFonts w:eastAsia="宋体"/>
                      <w:sz w:val="21"/>
                      <w:szCs w:val="21"/>
                    </w:rPr>
                    <w:fldChar w:fldCharType="end"/>
                  </w:r>
                </w:p>
              </w:tc>
              <w:tc>
                <w:tcPr>
                  <w:tcW w:w="1132" w:type="pct"/>
                  <w:tcMar>
                    <w:left w:w="0" w:type="dxa"/>
                    <w:right w:w="0" w:type="dxa"/>
                  </w:tcMar>
                  <w:vAlign w:val="center"/>
                </w:tcPr>
                <w:p>
                  <w:pPr>
                    <w:spacing w:line="240" w:lineRule="auto"/>
                    <w:jc w:val="center"/>
                    <w:rPr>
                      <w:rFonts w:eastAsia="宋体"/>
                      <w:sz w:val="21"/>
                      <w:szCs w:val="21"/>
                    </w:rPr>
                  </w:pPr>
                  <w:r>
                    <w:rPr>
                      <w:rFonts w:eastAsia="宋体"/>
                      <w:sz w:val="21"/>
                      <w:szCs w:val="21"/>
                    </w:rPr>
                    <w:fldChar w:fldCharType="begin"/>
                  </w:r>
                  <w:r>
                    <w:rPr>
                      <w:rFonts w:eastAsia="宋体"/>
                      <w:sz w:val="21"/>
                      <w:szCs w:val="21"/>
                    </w:rPr>
                    <w:instrText xml:space="preserve"> = sum(G2:G4) \* MERGEFORMAT </w:instrText>
                  </w:r>
                  <w:r>
                    <w:rPr>
                      <w:rFonts w:eastAsia="宋体"/>
                      <w:sz w:val="21"/>
                      <w:szCs w:val="21"/>
                    </w:rPr>
                    <w:fldChar w:fldCharType="separate"/>
                  </w:r>
                  <w:r>
                    <w:rPr>
                      <w:rFonts w:eastAsia="宋体"/>
                      <w:sz w:val="21"/>
                      <w:szCs w:val="21"/>
                    </w:rPr>
                    <w:t>18328.378</w:t>
                  </w:r>
                  <w:r>
                    <w:rPr>
                      <w:rFonts w:eastAsia="宋体"/>
                      <w:sz w:val="21"/>
                      <w:szCs w:val="21"/>
                    </w:rPr>
                    <w:fldChar w:fldCharType="end"/>
                  </w:r>
                </w:p>
              </w:tc>
            </w:tr>
          </w:tbl>
          <w:p>
            <w:pPr>
              <w:rPr>
                <w:rFonts w:eastAsia="宋体"/>
                <w:sz w:val="21"/>
                <w:szCs w:val="21"/>
              </w:rPr>
            </w:pPr>
            <w:r>
              <w:rPr>
                <w:rFonts w:hint="eastAsia" w:eastAsia="宋体"/>
                <w:sz w:val="21"/>
                <w:szCs w:val="21"/>
              </w:rPr>
              <w:t>注：用水量计算按照学校最大容量人数计算，包括预留学生人数（预留学生405人）</w:t>
            </w:r>
          </w:p>
          <w:p>
            <w:pPr>
              <w:ind w:firstLine="480" w:firstLineChars="200"/>
              <w:rPr>
                <w:rFonts w:eastAsia="宋体"/>
              </w:rPr>
            </w:pPr>
            <w:r>
              <w:rPr>
                <w:rFonts w:hint="eastAsia" w:eastAsia="宋体"/>
              </w:rPr>
              <w:t>排水量以用水量的85%计，则生活污水总产生量为18328.378m</w:t>
            </w:r>
            <w:r>
              <w:rPr>
                <w:rFonts w:hint="eastAsia" w:eastAsia="宋体"/>
                <w:vertAlign w:val="superscript"/>
              </w:rPr>
              <w:t>3</w:t>
            </w:r>
            <w:r>
              <w:rPr>
                <w:rFonts w:hint="eastAsia" w:eastAsia="宋体"/>
              </w:rPr>
              <w:t>/a。生活污水中的主要污染物及产生量分别为PH：6-9、COD</w:t>
            </w:r>
            <w:r>
              <w:rPr>
                <w:rFonts w:hint="eastAsia" w:eastAsia="宋体"/>
                <w:vertAlign w:val="subscript"/>
              </w:rPr>
              <w:t>Cr</w:t>
            </w:r>
            <w:r>
              <w:rPr>
                <w:rFonts w:hint="eastAsia" w:eastAsia="宋体"/>
              </w:rPr>
              <w:t>：6.415t/a（350mg/L）、NH</w:t>
            </w:r>
            <w:r>
              <w:rPr>
                <w:rFonts w:hint="eastAsia" w:eastAsia="宋体"/>
                <w:vertAlign w:val="subscript"/>
              </w:rPr>
              <w:t>3</w:t>
            </w:r>
            <w:r>
              <w:rPr>
                <w:rFonts w:hint="eastAsia" w:eastAsia="宋体"/>
              </w:rPr>
              <w:t>-N：0.642t/a（35mg/L）、动植物油：0.367t/a（</w:t>
            </w:r>
            <w:r>
              <w:rPr>
                <w:rFonts w:eastAsia="宋体"/>
              </w:rPr>
              <w:t>2</w:t>
            </w:r>
            <w:r>
              <w:rPr>
                <w:rFonts w:hint="eastAsia" w:eastAsia="宋体"/>
              </w:rPr>
              <w:t>0mg/L）。</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3）绿化用水</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根据《室外给水标准》（GB50013-2018），浇洒绿地用水可根据浇洒面积按1.0~3.0L/（m</w:t>
            </w:r>
            <w:r>
              <w:rPr>
                <w:rFonts w:hint="eastAsia" w:ascii="Times New Roman" w:hAnsi="Times New Roman" w:eastAsia="宋体" w:cs="Times New Roman"/>
                <w:vertAlign w:val="superscript"/>
              </w:rPr>
              <w:t>2</w:t>
            </w:r>
            <w:r>
              <w:rPr>
                <w:rFonts w:hint="eastAsia" w:ascii="Times New Roman" w:hAnsi="Times New Roman" w:eastAsia="宋体" w:cs="Times New Roman"/>
              </w:rPr>
              <w:t>·d），此处按3.0L/（m</w:t>
            </w:r>
            <w:r>
              <w:rPr>
                <w:rFonts w:hint="eastAsia" w:ascii="Times New Roman" w:hAnsi="Times New Roman" w:eastAsia="宋体" w:cs="Times New Roman"/>
                <w:vertAlign w:val="superscript"/>
              </w:rPr>
              <w:t>2</w:t>
            </w:r>
            <w:r>
              <w:rPr>
                <w:rFonts w:hint="eastAsia" w:ascii="Times New Roman" w:hAnsi="Times New Roman" w:eastAsia="宋体" w:cs="Times New Roman"/>
              </w:rPr>
              <w:t>·d）计。根据初步设计报告可知，本项目绿地面积约为16096m</w:t>
            </w:r>
            <w:r>
              <w:rPr>
                <w:rFonts w:hint="eastAsia" w:ascii="Times New Roman" w:hAnsi="Times New Roman" w:eastAsia="宋体" w:cs="Times New Roman"/>
                <w:vertAlign w:val="superscript"/>
              </w:rPr>
              <w:t>2</w:t>
            </w:r>
            <w:r>
              <w:rPr>
                <w:rFonts w:hint="eastAsia" w:ascii="Times New Roman" w:hAnsi="Times New Roman" w:eastAsia="宋体" w:cs="Times New Roman"/>
              </w:rPr>
              <w:t>，浇洒时间为100d，则绿化用水约为4828.8m</w:t>
            </w:r>
            <w:r>
              <w:rPr>
                <w:rFonts w:hint="eastAsia" w:ascii="Times New Roman" w:hAnsi="Times New Roman" w:eastAsia="宋体" w:cs="Times New Roman"/>
                <w:vertAlign w:val="superscript"/>
              </w:rPr>
              <w:t>3</w:t>
            </w:r>
            <w:r>
              <w:rPr>
                <w:rFonts w:hint="eastAsia" w:ascii="Times New Roman" w:hAnsi="Times New Roman" w:eastAsia="宋体" w:cs="Times New Roman"/>
              </w:rPr>
              <w:t>/a，初期雨水收集后可满足绿化灌溉用水量。绿化用水被植物吸收或蒸发，不产生绿化废水。</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4）废水汇总</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本项目生活污水经化粪池（食堂废水经隔油池预处理）处理，实验室废水经中和调节池预处理，处理达到《污水综合排放标准》（GB8978-1996）中的三级标准以及《污水排入城镇下水道水质标准》（GB/T 31962-2015）后汇同泳池废水一并纳入临平净水厂处理达到《城镇污水处理厂主要水污染物排放标准》（DB33/2169-2018）中现有城镇污水处理厂主要水污染物排放限值和《城镇污水处理厂污染物排放标准》（GB18918-2002）一级A标准后排放。</w:t>
            </w:r>
          </w:p>
          <w:p>
            <w:pPr>
              <w:pStyle w:val="5"/>
              <w:spacing w:before="156" w:beforeLines="50"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表4</w:t>
            </w:r>
            <w:r>
              <w:rPr>
                <w:rFonts w:ascii="Times New Roman" w:hAnsi="Times New Roman" w:eastAsia="宋体" w:cs="Times New Roman"/>
                <w:sz w:val="21"/>
                <w:szCs w:val="21"/>
              </w:rPr>
              <w:t>-</w:t>
            </w:r>
            <w:r>
              <w:rPr>
                <w:rFonts w:hint="eastAsia" w:ascii="Times New Roman" w:hAnsi="Times New Roman" w:eastAsia="宋体" w:cs="Times New Roman"/>
                <w:sz w:val="21"/>
                <w:szCs w:val="21"/>
              </w:rPr>
              <w:t>6</w:t>
            </w:r>
            <w:r>
              <w:rPr>
                <w:rFonts w:ascii="Times New Roman" w:hAnsi="Times New Roman" w:eastAsia="宋体" w:cs="Times New Roman"/>
                <w:sz w:val="21"/>
                <w:szCs w:val="21"/>
              </w:rPr>
              <w:t>废水污染源源强核算表</w:t>
            </w:r>
          </w:p>
          <w:tbl>
            <w:tblPr>
              <w:tblStyle w:val="31"/>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57"/>
              <w:gridCol w:w="1095"/>
              <w:gridCol w:w="1155"/>
              <w:gridCol w:w="1065"/>
              <w:gridCol w:w="840"/>
              <w:gridCol w:w="1125"/>
              <w:gridCol w:w="1065"/>
              <w:gridCol w:w="84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98" w:type="pct"/>
                  <w:vMerge w:val="restart"/>
                  <w:vAlign w:val="center"/>
                </w:tcPr>
                <w:p>
                  <w:pPr>
                    <w:adjustRightInd w:val="0"/>
                    <w:snapToGrid w:val="0"/>
                    <w:spacing w:line="240" w:lineRule="auto"/>
                    <w:jc w:val="center"/>
                    <w:rPr>
                      <w:rFonts w:eastAsia="宋体"/>
                      <w:b/>
                      <w:bCs/>
                      <w:sz w:val="21"/>
                      <w:szCs w:val="21"/>
                    </w:rPr>
                  </w:pPr>
                  <w:r>
                    <w:rPr>
                      <w:rFonts w:eastAsia="宋体"/>
                      <w:b/>
                      <w:bCs/>
                      <w:sz w:val="21"/>
                      <w:szCs w:val="21"/>
                    </w:rPr>
                    <w:t>工序</w:t>
                  </w:r>
                </w:p>
              </w:tc>
              <w:tc>
                <w:tcPr>
                  <w:tcW w:w="715" w:type="pct"/>
                  <w:vMerge w:val="restart"/>
                  <w:vAlign w:val="center"/>
                </w:tcPr>
                <w:p>
                  <w:pPr>
                    <w:adjustRightInd w:val="0"/>
                    <w:snapToGrid w:val="0"/>
                    <w:spacing w:line="240" w:lineRule="auto"/>
                    <w:jc w:val="center"/>
                    <w:rPr>
                      <w:rFonts w:eastAsia="宋体"/>
                      <w:b/>
                      <w:bCs/>
                      <w:sz w:val="21"/>
                      <w:szCs w:val="21"/>
                    </w:rPr>
                  </w:pPr>
                  <w:r>
                    <w:rPr>
                      <w:rFonts w:eastAsia="宋体"/>
                      <w:b/>
                      <w:bCs/>
                      <w:sz w:val="21"/>
                      <w:szCs w:val="21"/>
                    </w:rPr>
                    <w:t>污染物</w:t>
                  </w:r>
                </w:p>
              </w:tc>
              <w:tc>
                <w:tcPr>
                  <w:tcW w:w="2000" w:type="pct"/>
                  <w:gridSpan w:val="3"/>
                  <w:vAlign w:val="center"/>
                </w:tcPr>
                <w:p>
                  <w:pPr>
                    <w:adjustRightInd w:val="0"/>
                    <w:snapToGrid w:val="0"/>
                    <w:spacing w:line="320" w:lineRule="exact"/>
                    <w:jc w:val="center"/>
                    <w:rPr>
                      <w:rFonts w:eastAsia="宋体"/>
                      <w:b/>
                      <w:bCs/>
                      <w:sz w:val="21"/>
                      <w:szCs w:val="21"/>
                    </w:rPr>
                  </w:pPr>
                  <w:r>
                    <w:rPr>
                      <w:rFonts w:hint="eastAsia" w:eastAsia="宋体"/>
                      <w:b/>
                      <w:bCs/>
                      <w:sz w:val="21"/>
                      <w:szCs w:val="21"/>
                    </w:rPr>
                    <w:t>污染物产生情况</w:t>
                  </w:r>
                </w:p>
              </w:tc>
              <w:tc>
                <w:tcPr>
                  <w:tcW w:w="1985" w:type="pct"/>
                  <w:gridSpan w:val="3"/>
                  <w:vAlign w:val="center"/>
                </w:tcPr>
                <w:p>
                  <w:pPr>
                    <w:adjustRightInd w:val="0"/>
                    <w:snapToGrid w:val="0"/>
                    <w:spacing w:line="320" w:lineRule="exact"/>
                    <w:jc w:val="center"/>
                    <w:rPr>
                      <w:rFonts w:eastAsia="宋体"/>
                      <w:b/>
                      <w:bCs/>
                      <w:sz w:val="21"/>
                      <w:szCs w:val="21"/>
                    </w:rPr>
                  </w:pPr>
                  <w:r>
                    <w:rPr>
                      <w:rFonts w:eastAsia="宋体"/>
                      <w:b/>
                      <w:bCs/>
                      <w:sz w:val="21"/>
                      <w:szCs w:val="21"/>
                    </w:rPr>
                    <w:t>污染物排放</w:t>
                  </w:r>
                  <w:r>
                    <w:rPr>
                      <w:rFonts w:hint="eastAsia" w:eastAsia="宋体"/>
                      <w:b/>
                      <w:bCs/>
                      <w:sz w:val="21"/>
                      <w:szCs w:val="21"/>
                    </w:rPr>
                    <w:t>（纳管量）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98" w:type="pct"/>
                  <w:vMerge w:val="continue"/>
                  <w:vAlign w:val="center"/>
                </w:tcPr>
                <w:p>
                  <w:pPr>
                    <w:adjustRightInd w:val="0"/>
                    <w:snapToGrid w:val="0"/>
                    <w:spacing w:line="240" w:lineRule="auto"/>
                    <w:jc w:val="center"/>
                    <w:rPr>
                      <w:rFonts w:eastAsia="宋体"/>
                      <w:b/>
                      <w:bCs/>
                      <w:sz w:val="21"/>
                      <w:szCs w:val="21"/>
                    </w:rPr>
                  </w:pPr>
                </w:p>
              </w:tc>
              <w:tc>
                <w:tcPr>
                  <w:tcW w:w="715" w:type="pct"/>
                  <w:vMerge w:val="continue"/>
                  <w:vAlign w:val="center"/>
                </w:tcPr>
                <w:p>
                  <w:pPr>
                    <w:adjustRightInd w:val="0"/>
                    <w:snapToGrid w:val="0"/>
                    <w:spacing w:line="240" w:lineRule="auto"/>
                    <w:jc w:val="center"/>
                    <w:rPr>
                      <w:rFonts w:eastAsia="宋体"/>
                      <w:b/>
                      <w:bCs/>
                      <w:sz w:val="21"/>
                      <w:szCs w:val="21"/>
                    </w:rPr>
                  </w:pPr>
                </w:p>
              </w:tc>
              <w:tc>
                <w:tcPr>
                  <w:tcW w:w="755" w:type="pct"/>
                  <w:vMerge w:val="restart"/>
                  <w:vAlign w:val="center"/>
                </w:tcPr>
                <w:p>
                  <w:pPr>
                    <w:adjustRightInd w:val="0"/>
                    <w:snapToGrid w:val="0"/>
                    <w:spacing w:line="240" w:lineRule="auto"/>
                    <w:jc w:val="center"/>
                    <w:rPr>
                      <w:rFonts w:eastAsia="宋体"/>
                      <w:b/>
                      <w:bCs/>
                      <w:sz w:val="21"/>
                      <w:szCs w:val="21"/>
                    </w:rPr>
                  </w:pPr>
                  <w:r>
                    <w:rPr>
                      <w:rFonts w:eastAsia="宋体"/>
                      <w:b/>
                      <w:bCs/>
                      <w:sz w:val="21"/>
                      <w:szCs w:val="21"/>
                    </w:rPr>
                    <w:t>废水量</w:t>
                  </w:r>
                </w:p>
                <w:p>
                  <w:pPr>
                    <w:adjustRightInd w:val="0"/>
                    <w:snapToGrid w:val="0"/>
                    <w:spacing w:line="240" w:lineRule="auto"/>
                    <w:jc w:val="center"/>
                    <w:rPr>
                      <w:rFonts w:eastAsia="宋体"/>
                      <w:b/>
                      <w:bCs/>
                      <w:sz w:val="21"/>
                      <w:szCs w:val="21"/>
                    </w:rPr>
                  </w:pPr>
                  <w:r>
                    <w:rPr>
                      <w:rFonts w:eastAsia="宋体"/>
                      <w:b/>
                      <w:bCs/>
                      <w:sz w:val="21"/>
                      <w:szCs w:val="21"/>
                    </w:rPr>
                    <w:t>（m</w:t>
                  </w:r>
                  <w:r>
                    <w:rPr>
                      <w:rFonts w:eastAsia="宋体"/>
                      <w:b/>
                      <w:bCs/>
                      <w:sz w:val="21"/>
                      <w:szCs w:val="21"/>
                      <w:vertAlign w:val="superscript"/>
                    </w:rPr>
                    <w:t>3</w:t>
                  </w:r>
                  <w:r>
                    <w:rPr>
                      <w:rFonts w:eastAsia="宋体"/>
                      <w:b/>
                      <w:bCs/>
                      <w:sz w:val="21"/>
                      <w:szCs w:val="21"/>
                    </w:rPr>
                    <w:t>/a）</w:t>
                  </w:r>
                </w:p>
              </w:tc>
              <w:tc>
                <w:tcPr>
                  <w:tcW w:w="696" w:type="pct"/>
                  <w:vMerge w:val="restart"/>
                  <w:vAlign w:val="center"/>
                </w:tcPr>
                <w:p>
                  <w:pPr>
                    <w:adjustRightInd w:val="0"/>
                    <w:snapToGrid w:val="0"/>
                    <w:spacing w:line="240" w:lineRule="auto"/>
                    <w:jc w:val="center"/>
                    <w:rPr>
                      <w:rFonts w:eastAsia="宋体"/>
                      <w:b/>
                      <w:bCs/>
                      <w:sz w:val="21"/>
                      <w:szCs w:val="21"/>
                    </w:rPr>
                  </w:pPr>
                  <w:r>
                    <w:rPr>
                      <w:rFonts w:eastAsia="宋体"/>
                      <w:b/>
                      <w:bCs/>
                      <w:sz w:val="21"/>
                      <w:szCs w:val="21"/>
                    </w:rPr>
                    <w:t>浓度（mg/L）</w:t>
                  </w:r>
                </w:p>
              </w:tc>
              <w:tc>
                <w:tcPr>
                  <w:tcW w:w="549" w:type="pct"/>
                  <w:vMerge w:val="restart"/>
                  <w:vAlign w:val="center"/>
                </w:tcPr>
                <w:p>
                  <w:pPr>
                    <w:adjustRightInd w:val="0"/>
                    <w:snapToGrid w:val="0"/>
                    <w:spacing w:line="240" w:lineRule="auto"/>
                    <w:jc w:val="center"/>
                    <w:rPr>
                      <w:rFonts w:eastAsia="宋体"/>
                      <w:b/>
                      <w:bCs/>
                      <w:sz w:val="21"/>
                      <w:szCs w:val="21"/>
                    </w:rPr>
                  </w:pPr>
                  <w:r>
                    <w:rPr>
                      <w:rFonts w:eastAsia="宋体"/>
                      <w:b/>
                      <w:bCs/>
                      <w:sz w:val="21"/>
                      <w:szCs w:val="21"/>
                    </w:rPr>
                    <w:t>进入量</w:t>
                  </w:r>
                </w:p>
                <w:p>
                  <w:pPr>
                    <w:adjustRightInd w:val="0"/>
                    <w:snapToGrid w:val="0"/>
                    <w:spacing w:line="240" w:lineRule="auto"/>
                    <w:jc w:val="center"/>
                    <w:rPr>
                      <w:rFonts w:eastAsia="宋体"/>
                      <w:b/>
                      <w:bCs/>
                      <w:sz w:val="21"/>
                      <w:szCs w:val="21"/>
                    </w:rPr>
                  </w:pPr>
                  <w:r>
                    <w:rPr>
                      <w:rFonts w:eastAsia="宋体"/>
                      <w:b/>
                      <w:bCs/>
                      <w:sz w:val="21"/>
                      <w:szCs w:val="21"/>
                    </w:rPr>
                    <w:t>（t/a）</w:t>
                  </w:r>
                </w:p>
              </w:tc>
              <w:tc>
                <w:tcPr>
                  <w:tcW w:w="735" w:type="pct"/>
                  <w:vMerge w:val="restart"/>
                  <w:vAlign w:val="center"/>
                </w:tcPr>
                <w:p>
                  <w:pPr>
                    <w:adjustRightInd w:val="0"/>
                    <w:snapToGrid w:val="0"/>
                    <w:spacing w:line="240" w:lineRule="auto"/>
                    <w:jc w:val="center"/>
                    <w:rPr>
                      <w:rFonts w:eastAsia="宋体"/>
                      <w:b/>
                      <w:bCs/>
                      <w:sz w:val="21"/>
                      <w:szCs w:val="21"/>
                    </w:rPr>
                  </w:pPr>
                  <w:r>
                    <w:rPr>
                      <w:rFonts w:eastAsia="宋体"/>
                      <w:b/>
                      <w:bCs/>
                      <w:sz w:val="21"/>
                      <w:szCs w:val="21"/>
                    </w:rPr>
                    <w:t>废水量（m</w:t>
                  </w:r>
                  <w:r>
                    <w:rPr>
                      <w:rFonts w:eastAsia="宋体"/>
                      <w:b/>
                      <w:bCs/>
                      <w:sz w:val="21"/>
                      <w:szCs w:val="21"/>
                      <w:vertAlign w:val="superscript"/>
                    </w:rPr>
                    <w:t>3</w:t>
                  </w:r>
                  <w:r>
                    <w:rPr>
                      <w:rFonts w:eastAsia="宋体"/>
                      <w:b/>
                      <w:bCs/>
                      <w:sz w:val="21"/>
                      <w:szCs w:val="21"/>
                    </w:rPr>
                    <w:t>/a）</w:t>
                  </w:r>
                </w:p>
              </w:tc>
              <w:tc>
                <w:tcPr>
                  <w:tcW w:w="696" w:type="pct"/>
                  <w:vMerge w:val="restart"/>
                  <w:vAlign w:val="center"/>
                </w:tcPr>
                <w:p>
                  <w:pPr>
                    <w:adjustRightInd w:val="0"/>
                    <w:snapToGrid w:val="0"/>
                    <w:spacing w:line="240" w:lineRule="auto"/>
                    <w:jc w:val="center"/>
                    <w:rPr>
                      <w:rFonts w:eastAsia="宋体"/>
                      <w:b/>
                      <w:bCs/>
                      <w:sz w:val="21"/>
                      <w:szCs w:val="21"/>
                    </w:rPr>
                  </w:pPr>
                  <w:r>
                    <w:rPr>
                      <w:rFonts w:eastAsia="宋体"/>
                      <w:b/>
                      <w:bCs/>
                      <w:sz w:val="21"/>
                      <w:szCs w:val="21"/>
                    </w:rPr>
                    <w:t>浓度</w:t>
                  </w:r>
                </w:p>
                <w:p>
                  <w:pPr>
                    <w:adjustRightInd w:val="0"/>
                    <w:snapToGrid w:val="0"/>
                    <w:spacing w:line="240" w:lineRule="auto"/>
                    <w:jc w:val="center"/>
                    <w:rPr>
                      <w:rFonts w:eastAsia="宋体"/>
                      <w:b/>
                      <w:bCs/>
                      <w:sz w:val="21"/>
                      <w:szCs w:val="21"/>
                    </w:rPr>
                  </w:pPr>
                  <w:r>
                    <w:rPr>
                      <w:rFonts w:eastAsia="宋体"/>
                      <w:b/>
                      <w:bCs/>
                      <w:sz w:val="21"/>
                      <w:szCs w:val="21"/>
                    </w:rPr>
                    <w:t>（mg/L）</w:t>
                  </w:r>
                </w:p>
              </w:tc>
              <w:tc>
                <w:tcPr>
                  <w:tcW w:w="553" w:type="pct"/>
                  <w:vMerge w:val="restart"/>
                  <w:vAlign w:val="center"/>
                </w:tcPr>
                <w:p>
                  <w:pPr>
                    <w:adjustRightInd w:val="0"/>
                    <w:snapToGrid w:val="0"/>
                    <w:spacing w:line="240" w:lineRule="auto"/>
                    <w:jc w:val="center"/>
                    <w:rPr>
                      <w:rFonts w:eastAsia="宋体"/>
                      <w:b/>
                      <w:bCs/>
                      <w:sz w:val="21"/>
                      <w:szCs w:val="21"/>
                    </w:rPr>
                  </w:pPr>
                  <w:r>
                    <w:rPr>
                      <w:rFonts w:eastAsia="宋体"/>
                      <w:b/>
                      <w:bCs/>
                      <w:sz w:val="21"/>
                      <w:szCs w:val="21"/>
                    </w:rPr>
                    <w:t>排放量</w:t>
                  </w:r>
                </w:p>
                <w:p>
                  <w:pPr>
                    <w:adjustRightInd w:val="0"/>
                    <w:snapToGrid w:val="0"/>
                    <w:spacing w:line="240" w:lineRule="auto"/>
                    <w:jc w:val="center"/>
                    <w:rPr>
                      <w:rFonts w:eastAsia="宋体"/>
                      <w:b/>
                      <w:bCs/>
                      <w:sz w:val="21"/>
                      <w:szCs w:val="21"/>
                    </w:rPr>
                  </w:pPr>
                  <w:r>
                    <w:rPr>
                      <w:rFonts w:eastAsia="宋体"/>
                      <w:b/>
                      <w:bCs/>
                      <w:sz w:val="21"/>
                      <w:szCs w:val="21"/>
                    </w:rPr>
                    <w:t>（t/a）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98" w:type="pct"/>
                  <w:vMerge w:val="continue"/>
                  <w:vAlign w:val="center"/>
                </w:tcPr>
                <w:p>
                  <w:pPr>
                    <w:adjustRightInd w:val="0"/>
                    <w:snapToGrid w:val="0"/>
                    <w:spacing w:line="240" w:lineRule="auto"/>
                    <w:jc w:val="center"/>
                    <w:rPr>
                      <w:rFonts w:eastAsia="宋体"/>
                      <w:sz w:val="21"/>
                      <w:szCs w:val="21"/>
                    </w:rPr>
                  </w:pPr>
                </w:p>
              </w:tc>
              <w:tc>
                <w:tcPr>
                  <w:tcW w:w="715" w:type="pct"/>
                  <w:vMerge w:val="continue"/>
                  <w:vAlign w:val="center"/>
                </w:tcPr>
                <w:p>
                  <w:pPr>
                    <w:adjustRightInd w:val="0"/>
                    <w:snapToGrid w:val="0"/>
                    <w:spacing w:line="240" w:lineRule="auto"/>
                    <w:jc w:val="center"/>
                    <w:rPr>
                      <w:rFonts w:eastAsia="宋体"/>
                      <w:sz w:val="21"/>
                      <w:szCs w:val="21"/>
                    </w:rPr>
                  </w:pPr>
                </w:p>
              </w:tc>
              <w:tc>
                <w:tcPr>
                  <w:tcW w:w="755" w:type="pct"/>
                  <w:vMerge w:val="continue"/>
                  <w:vAlign w:val="center"/>
                </w:tcPr>
                <w:p>
                  <w:pPr>
                    <w:adjustRightInd w:val="0"/>
                    <w:snapToGrid w:val="0"/>
                    <w:spacing w:line="240" w:lineRule="auto"/>
                    <w:jc w:val="center"/>
                    <w:rPr>
                      <w:rFonts w:eastAsia="宋体"/>
                      <w:sz w:val="21"/>
                      <w:szCs w:val="21"/>
                    </w:rPr>
                  </w:pPr>
                </w:p>
              </w:tc>
              <w:tc>
                <w:tcPr>
                  <w:tcW w:w="696" w:type="pct"/>
                  <w:vMerge w:val="continue"/>
                  <w:vAlign w:val="center"/>
                </w:tcPr>
                <w:p>
                  <w:pPr>
                    <w:adjustRightInd w:val="0"/>
                    <w:snapToGrid w:val="0"/>
                    <w:spacing w:line="240" w:lineRule="auto"/>
                    <w:jc w:val="center"/>
                    <w:rPr>
                      <w:rFonts w:eastAsia="宋体"/>
                      <w:sz w:val="21"/>
                      <w:szCs w:val="21"/>
                    </w:rPr>
                  </w:pPr>
                </w:p>
              </w:tc>
              <w:tc>
                <w:tcPr>
                  <w:tcW w:w="549" w:type="pct"/>
                  <w:vMerge w:val="continue"/>
                  <w:vAlign w:val="center"/>
                </w:tcPr>
                <w:p>
                  <w:pPr>
                    <w:adjustRightInd w:val="0"/>
                    <w:snapToGrid w:val="0"/>
                    <w:spacing w:line="240" w:lineRule="auto"/>
                    <w:jc w:val="center"/>
                    <w:rPr>
                      <w:rFonts w:eastAsia="宋体"/>
                      <w:sz w:val="21"/>
                      <w:szCs w:val="21"/>
                    </w:rPr>
                  </w:pPr>
                </w:p>
              </w:tc>
              <w:tc>
                <w:tcPr>
                  <w:tcW w:w="735" w:type="pct"/>
                  <w:vMerge w:val="continue"/>
                  <w:vAlign w:val="center"/>
                </w:tcPr>
                <w:p>
                  <w:pPr>
                    <w:adjustRightInd w:val="0"/>
                    <w:snapToGrid w:val="0"/>
                    <w:spacing w:line="240" w:lineRule="auto"/>
                    <w:jc w:val="center"/>
                    <w:rPr>
                      <w:rFonts w:eastAsia="宋体"/>
                      <w:sz w:val="21"/>
                      <w:szCs w:val="21"/>
                    </w:rPr>
                  </w:pPr>
                </w:p>
              </w:tc>
              <w:tc>
                <w:tcPr>
                  <w:tcW w:w="696" w:type="pct"/>
                  <w:vMerge w:val="continue"/>
                  <w:vAlign w:val="center"/>
                </w:tcPr>
                <w:p>
                  <w:pPr>
                    <w:adjustRightInd w:val="0"/>
                    <w:snapToGrid w:val="0"/>
                    <w:spacing w:line="240" w:lineRule="auto"/>
                    <w:jc w:val="center"/>
                    <w:rPr>
                      <w:rFonts w:eastAsia="宋体"/>
                      <w:sz w:val="21"/>
                      <w:szCs w:val="21"/>
                    </w:rPr>
                  </w:pPr>
                </w:p>
              </w:tc>
              <w:tc>
                <w:tcPr>
                  <w:tcW w:w="553" w:type="pct"/>
                  <w:vMerge w:val="continue"/>
                  <w:vAlign w:val="center"/>
                </w:tcPr>
                <w:p>
                  <w:pPr>
                    <w:adjustRightInd w:val="0"/>
                    <w:snapToGrid w:val="0"/>
                    <w:spacing w:line="240" w:lineRule="auto"/>
                    <w:jc w:val="center"/>
                    <w:rPr>
                      <w:rFonts w:eastAsia="宋体"/>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98" w:type="pct"/>
                  <w:vMerge w:val="restart"/>
                  <w:vAlign w:val="center"/>
                </w:tcPr>
                <w:p>
                  <w:pPr>
                    <w:adjustRightInd w:val="0"/>
                    <w:snapToGrid w:val="0"/>
                    <w:spacing w:line="240" w:lineRule="auto"/>
                    <w:jc w:val="center"/>
                    <w:rPr>
                      <w:rFonts w:eastAsia="宋体"/>
                      <w:sz w:val="21"/>
                      <w:szCs w:val="21"/>
                    </w:rPr>
                  </w:pPr>
                  <w:r>
                    <w:rPr>
                      <w:rFonts w:hint="eastAsia" w:eastAsia="宋体"/>
                      <w:sz w:val="21"/>
                      <w:szCs w:val="21"/>
                    </w:rPr>
                    <w:t>生活污水</w:t>
                  </w:r>
                </w:p>
              </w:tc>
              <w:tc>
                <w:tcPr>
                  <w:tcW w:w="715" w:type="pct"/>
                  <w:vAlign w:val="center"/>
                </w:tcPr>
                <w:p>
                  <w:pPr>
                    <w:adjustRightInd w:val="0"/>
                    <w:snapToGrid w:val="0"/>
                    <w:spacing w:line="240" w:lineRule="auto"/>
                    <w:jc w:val="center"/>
                    <w:rPr>
                      <w:rFonts w:eastAsia="宋体"/>
                      <w:sz w:val="21"/>
                      <w:szCs w:val="21"/>
                    </w:rPr>
                  </w:pPr>
                  <w:r>
                    <w:rPr>
                      <w:rFonts w:hint="eastAsia" w:eastAsia="宋体"/>
                      <w:sz w:val="21"/>
                      <w:szCs w:val="21"/>
                    </w:rPr>
                    <w:t>PH</w:t>
                  </w:r>
                </w:p>
              </w:tc>
              <w:tc>
                <w:tcPr>
                  <w:tcW w:w="755" w:type="pct"/>
                  <w:vMerge w:val="restart"/>
                  <w:vAlign w:val="center"/>
                </w:tcPr>
                <w:p>
                  <w:pPr>
                    <w:adjustRightInd w:val="0"/>
                    <w:snapToGrid w:val="0"/>
                    <w:spacing w:line="240" w:lineRule="auto"/>
                    <w:jc w:val="center"/>
                    <w:rPr>
                      <w:rFonts w:eastAsia="宋体"/>
                      <w:sz w:val="21"/>
                      <w:szCs w:val="21"/>
                    </w:rPr>
                  </w:pPr>
                  <w:r>
                    <w:rPr>
                      <w:rFonts w:hint="eastAsia" w:eastAsia="宋体"/>
                      <w:sz w:val="21"/>
                      <w:szCs w:val="21"/>
                    </w:rPr>
                    <w:t>18328.378</w:t>
                  </w:r>
                </w:p>
              </w:tc>
              <w:tc>
                <w:tcPr>
                  <w:tcW w:w="696" w:type="pct"/>
                  <w:vAlign w:val="center"/>
                </w:tcPr>
                <w:p>
                  <w:pPr>
                    <w:adjustRightInd w:val="0"/>
                    <w:snapToGrid w:val="0"/>
                    <w:spacing w:line="240" w:lineRule="auto"/>
                    <w:jc w:val="center"/>
                    <w:rPr>
                      <w:rFonts w:eastAsia="宋体"/>
                      <w:sz w:val="21"/>
                      <w:szCs w:val="21"/>
                    </w:rPr>
                  </w:pPr>
                  <w:r>
                    <w:rPr>
                      <w:rFonts w:hint="eastAsia" w:eastAsia="宋体"/>
                      <w:sz w:val="21"/>
                      <w:szCs w:val="21"/>
                    </w:rPr>
                    <w:t>6-9</w:t>
                  </w:r>
                </w:p>
              </w:tc>
              <w:tc>
                <w:tcPr>
                  <w:tcW w:w="549" w:type="pct"/>
                  <w:vAlign w:val="center"/>
                </w:tcPr>
                <w:p>
                  <w:pPr>
                    <w:adjustRightInd w:val="0"/>
                    <w:snapToGrid w:val="0"/>
                    <w:spacing w:line="240" w:lineRule="auto"/>
                    <w:jc w:val="center"/>
                    <w:rPr>
                      <w:rFonts w:hint="eastAsia" w:eastAsia="宋体"/>
                      <w:sz w:val="21"/>
                      <w:szCs w:val="21"/>
                      <w:lang w:val="en-US" w:eastAsia="zh-CN"/>
                    </w:rPr>
                  </w:pPr>
                  <w:r>
                    <w:rPr>
                      <w:rFonts w:hint="eastAsia" w:eastAsia="宋体"/>
                      <w:sz w:val="21"/>
                      <w:szCs w:val="21"/>
                      <w:lang w:val="en-US" w:eastAsia="zh-CN"/>
                    </w:rPr>
                    <w:t>/</w:t>
                  </w:r>
                </w:p>
              </w:tc>
              <w:tc>
                <w:tcPr>
                  <w:tcW w:w="735" w:type="pct"/>
                  <w:vMerge w:val="restart"/>
                  <w:vAlign w:val="center"/>
                </w:tcPr>
                <w:p>
                  <w:pPr>
                    <w:adjustRightInd w:val="0"/>
                    <w:snapToGrid w:val="0"/>
                    <w:spacing w:line="240" w:lineRule="auto"/>
                    <w:jc w:val="center"/>
                    <w:rPr>
                      <w:rFonts w:eastAsia="宋体"/>
                      <w:sz w:val="21"/>
                      <w:szCs w:val="21"/>
                    </w:rPr>
                  </w:pPr>
                  <w:r>
                    <w:rPr>
                      <w:rFonts w:hint="eastAsia" w:eastAsia="宋体"/>
                      <w:sz w:val="21"/>
                      <w:szCs w:val="21"/>
                    </w:rPr>
                    <w:t>18328.378</w:t>
                  </w:r>
                </w:p>
              </w:tc>
              <w:tc>
                <w:tcPr>
                  <w:tcW w:w="696" w:type="pct"/>
                  <w:vAlign w:val="center"/>
                </w:tcPr>
                <w:p>
                  <w:pPr>
                    <w:adjustRightInd w:val="0"/>
                    <w:snapToGrid w:val="0"/>
                    <w:spacing w:line="240" w:lineRule="auto"/>
                    <w:jc w:val="center"/>
                    <w:rPr>
                      <w:rFonts w:eastAsia="宋体"/>
                      <w:sz w:val="21"/>
                      <w:szCs w:val="21"/>
                    </w:rPr>
                  </w:pPr>
                  <w:r>
                    <w:rPr>
                      <w:rFonts w:hint="eastAsia" w:eastAsia="宋体"/>
                      <w:sz w:val="21"/>
                      <w:szCs w:val="21"/>
                    </w:rPr>
                    <w:t>6-9</w:t>
                  </w:r>
                </w:p>
              </w:tc>
              <w:tc>
                <w:tcPr>
                  <w:tcW w:w="553" w:type="pct"/>
                  <w:vAlign w:val="center"/>
                </w:tcPr>
                <w:p>
                  <w:pPr>
                    <w:adjustRightInd w:val="0"/>
                    <w:snapToGrid w:val="0"/>
                    <w:spacing w:line="240" w:lineRule="auto"/>
                    <w:jc w:val="center"/>
                    <w:rPr>
                      <w:rFonts w:hint="eastAsia" w:eastAsia="宋体"/>
                      <w:sz w:val="21"/>
                      <w:szCs w:val="21"/>
                      <w:lang w:val="en-US" w:eastAsia="zh-CN"/>
                    </w:rPr>
                  </w:pPr>
                  <w:r>
                    <w:rPr>
                      <w:rFonts w:hint="eastAsia" w:eastAsia="宋体"/>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98" w:type="pct"/>
                  <w:vMerge w:val="continue"/>
                  <w:vAlign w:val="center"/>
                </w:tcPr>
                <w:p>
                  <w:pPr>
                    <w:adjustRightInd w:val="0"/>
                    <w:snapToGrid w:val="0"/>
                    <w:spacing w:line="240" w:lineRule="auto"/>
                    <w:jc w:val="center"/>
                    <w:rPr>
                      <w:rFonts w:eastAsia="宋体"/>
                      <w:sz w:val="21"/>
                      <w:szCs w:val="21"/>
                    </w:rPr>
                  </w:pPr>
                </w:p>
              </w:tc>
              <w:tc>
                <w:tcPr>
                  <w:tcW w:w="715" w:type="pct"/>
                  <w:vAlign w:val="center"/>
                </w:tcPr>
                <w:p>
                  <w:pPr>
                    <w:adjustRightInd w:val="0"/>
                    <w:snapToGrid w:val="0"/>
                    <w:spacing w:line="240" w:lineRule="auto"/>
                    <w:jc w:val="center"/>
                    <w:rPr>
                      <w:rFonts w:eastAsia="宋体"/>
                      <w:sz w:val="21"/>
                      <w:szCs w:val="21"/>
                    </w:rPr>
                  </w:pPr>
                  <w:r>
                    <w:rPr>
                      <w:rFonts w:eastAsia="宋体"/>
                      <w:sz w:val="21"/>
                      <w:szCs w:val="21"/>
                    </w:rPr>
                    <w:t>COD</w:t>
                  </w:r>
                </w:p>
              </w:tc>
              <w:tc>
                <w:tcPr>
                  <w:tcW w:w="755" w:type="pct"/>
                  <w:vMerge w:val="continue"/>
                  <w:vAlign w:val="center"/>
                </w:tcPr>
                <w:p>
                  <w:pPr>
                    <w:adjustRightInd w:val="0"/>
                    <w:snapToGrid w:val="0"/>
                    <w:spacing w:line="240" w:lineRule="auto"/>
                    <w:jc w:val="center"/>
                    <w:rPr>
                      <w:rFonts w:eastAsia="宋体"/>
                      <w:sz w:val="21"/>
                      <w:szCs w:val="21"/>
                    </w:rPr>
                  </w:pPr>
                </w:p>
              </w:tc>
              <w:tc>
                <w:tcPr>
                  <w:tcW w:w="696" w:type="pct"/>
                  <w:vAlign w:val="center"/>
                </w:tcPr>
                <w:p>
                  <w:pPr>
                    <w:adjustRightInd w:val="0"/>
                    <w:snapToGrid w:val="0"/>
                    <w:spacing w:line="240" w:lineRule="auto"/>
                    <w:jc w:val="center"/>
                    <w:rPr>
                      <w:rFonts w:eastAsia="宋体"/>
                      <w:sz w:val="21"/>
                      <w:szCs w:val="21"/>
                    </w:rPr>
                  </w:pPr>
                  <w:r>
                    <w:rPr>
                      <w:rFonts w:hint="eastAsia" w:eastAsia="宋体"/>
                      <w:sz w:val="21"/>
                      <w:szCs w:val="21"/>
                    </w:rPr>
                    <w:t>350</w:t>
                  </w:r>
                </w:p>
              </w:tc>
              <w:tc>
                <w:tcPr>
                  <w:tcW w:w="549" w:type="pct"/>
                  <w:vAlign w:val="center"/>
                </w:tcPr>
                <w:p>
                  <w:pPr>
                    <w:adjustRightInd w:val="0"/>
                    <w:snapToGrid w:val="0"/>
                    <w:spacing w:line="240" w:lineRule="auto"/>
                    <w:jc w:val="center"/>
                    <w:rPr>
                      <w:rFonts w:hint="eastAsia" w:eastAsia="宋体"/>
                      <w:sz w:val="21"/>
                      <w:szCs w:val="21"/>
                      <w:lang w:eastAsia="zh-CN"/>
                    </w:rPr>
                  </w:pPr>
                  <w:r>
                    <w:rPr>
                      <w:rFonts w:hint="eastAsia" w:eastAsia="宋体"/>
                      <w:sz w:val="21"/>
                      <w:szCs w:val="21"/>
                    </w:rPr>
                    <w:t>6.415</w:t>
                  </w:r>
                </w:p>
              </w:tc>
              <w:tc>
                <w:tcPr>
                  <w:tcW w:w="735" w:type="pct"/>
                  <w:vMerge w:val="continue"/>
                  <w:vAlign w:val="center"/>
                </w:tcPr>
                <w:p>
                  <w:pPr>
                    <w:adjustRightInd w:val="0"/>
                    <w:snapToGrid w:val="0"/>
                    <w:spacing w:line="240" w:lineRule="auto"/>
                    <w:jc w:val="center"/>
                    <w:rPr>
                      <w:rFonts w:eastAsia="宋体"/>
                      <w:sz w:val="21"/>
                      <w:szCs w:val="21"/>
                    </w:rPr>
                  </w:pPr>
                </w:p>
              </w:tc>
              <w:tc>
                <w:tcPr>
                  <w:tcW w:w="696" w:type="pct"/>
                  <w:vAlign w:val="center"/>
                </w:tcPr>
                <w:p>
                  <w:pPr>
                    <w:adjustRightInd w:val="0"/>
                    <w:snapToGrid w:val="0"/>
                    <w:spacing w:line="240" w:lineRule="auto"/>
                    <w:jc w:val="center"/>
                    <w:rPr>
                      <w:rFonts w:eastAsia="宋体"/>
                      <w:sz w:val="21"/>
                      <w:szCs w:val="21"/>
                    </w:rPr>
                  </w:pPr>
                  <w:r>
                    <w:rPr>
                      <w:rFonts w:hint="eastAsia" w:eastAsia="宋体"/>
                      <w:sz w:val="21"/>
                      <w:szCs w:val="21"/>
                    </w:rPr>
                    <w:t>350</w:t>
                  </w:r>
                </w:p>
              </w:tc>
              <w:tc>
                <w:tcPr>
                  <w:tcW w:w="553" w:type="pct"/>
                  <w:vAlign w:val="center"/>
                </w:tcPr>
                <w:p>
                  <w:pPr>
                    <w:adjustRightInd w:val="0"/>
                    <w:snapToGrid w:val="0"/>
                    <w:spacing w:line="240" w:lineRule="auto"/>
                    <w:jc w:val="center"/>
                    <w:rPr>
                      <w:rFonts w:hint="eastAsia" w:eastAsia="宋体"/>
                      <w:sz w:val="21"/>
                      <w:szCs w:val="21"/>
                      <w:lang w:eastAsia="zh-CN"/>
                    </w:rPr>
                  </w:pPr>
                  <w:r>
                    <w:rPr>
                      <w:rFonts w:hint="eastAsia" w:eastAsia="宋体"/>
                      <w:sz w:val="21"/>
                      <w:szCs w:val="21"/>
                    </w:rPr>
                    <w:t>6.415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98" w:type="pct"/>
                  <w:vMerge w:val="continue"/>
                  <w:vAlign w:val="center"/>
                </w:tcPr>
                <w:p>
                  <w:pPr>
                    <w:adjustRightInd w:val="0"/>
                    <w:snapToGrid w:val="0"/>
                    <w:spacing w:line="240" w:lineRule="auto"/>
                    <w:jc w:val="center"/>
                    <w:rPr>
                      <w:rFonts w:eastAsia="宋体"/>
                      <w:sz w:val="21"/>
                      <w:szCs w:val="21"/>
                    </w:rPr>
                  </w:pPr>
                </w:p>
              </w:tc>
              <w:tc>
                <w:tcPr>
                  <w:tcW w:w="715" w:type="pct"/>
                  <w:vAlign w:val="center"/>
                </w:tcPr>
                <w:p>
                  <w:pPr>
                    <w:adjustRightInd w:val="0"/>
                    <w:snapToGrid w:val="0"/>
                    <w:spacing w:line="240" w:lineRule="auto"/>
                    <w:jc w:val="center"/>
                    <w:rPr>
                      <w:rFonts w:eastAsia="宋体"/>
                      <w:sz w:val="21"/>
                      <w:szCs w:val="21"/>
                    </w:rPr>
                  </w:pPr>
                  <w:r>
                    <w:rPr>
                      <w:rFonts w:eastAsia="宋体"/>
                      <w:sz w:val="21"/>
                      <w:szCs w:val="21"/>
                    </w:rPr>
                    <w:t>氨氮</w:t>
                  </w:r>
                </w:p>
              </w:tc>
              <w:tc>
                <w:tcPr>
                  <w:tcW w:w="755" w:type="pct"/>
                  <w:vMerge w:val="continue"/>
                  <w:vAlign w:val="center"/>
                </w:tcPr>
                <w:p>
                  <w:pPr>
                    <w:adjustRightInd w:val="0"/>
                    <w:snapToGrid w:val="0"/>
                    <w:spacing w:line="240" w:lineRule="auto"/>
                    <w:jc w:val="center"/>
                    <w:rPr>
                      <w:rFonts w:eastAsia="宋体"/>
                      <w:sz w:val="21"/>
                      <w:szCs w:val="21"/>
                    </w:rPr>
                  </w:pPr>
                </w:p>
              </w:tc>
              <w:tc>
                <w:tcPr>
                  <w:tcW w:w="696" w:type="pct"/>
                  <w:vAlign w:val="center"/>
                </w:tcPr>
                <w:p>
                  <w:pPr>
                    <w:adjustRightInd w:val="0"/>
                    <w:snapToGrid w:val="0"/>
                    <w:spacing w:line="240" w:lineRule="auto"/>
                    <w:jc w:val="center"/>
                    <w:rPr>
                      <w:rFonts w:eastAsia="宋体"/>
                      <w:sz w:val="21"/>
                      <w:szCs w:val="21"/>
                    </w:rPr>
                  </w:pPr>
                  <w:r>
                    <w:rPr>
                      <w:rFonts w:hint="eastAsia" w:eastAsia="宋体"/>
                      <w:sz w:val="21"/>
                      <w:szCs w:val="21"/>
                    </w:rPr>
                    <w:t>35</w:t>
                  </w:r>
                </w:p>
              </w:tc>
              <w:tc>
                <w:tcPr>
                  <w:tcW w:w="549" w:type="pct"/>
                  <w:vAlign w:val="center"/>
                </w:tcPr>
                <w:p>
                  <w:pPr>
                    <w:adjustRightInd w:val="0"/>
                    <w:snapToGrid w:val="0"/>
                    <w:spacing w:line="240" w:lineRule="auto"/>
                    <w:jc w:val="center"/>
                    <w:rPr>
                      <w:rFonts w:hint="eastAsia" w:eastAsia="宋体"/>
                      <w:sz w:val="21"/>
                      <w:szCs w:val="21"/>
                      <w:lang w:eastAsia="zh-CN"/>
                    </w:rPr>
                  </w:pPr>
                  <w:r>
                    <w:rPr>
                      <w:rFonts w:hint="eastAsia" w:eastAsia="宋体"/>
                      <w:sz w:val="21"/>
                      <w:szCs w:val="21"/>
                    </w:rPr>
                    <w:t>0.641</w:t>
                  </w:r>
                </w:p>
              </w:tc>
              <w:tc>
                <w:tcPr>
                  <w:tcW w:w="735" w:type="pct"/>
                  <w:vMerge w:val="continue"/>
                  <w:vAlign w:val="center"/>
                </w:tcPr>
                <w:p>
                  <w:pPr>
                    <w:adjustRightInd w:val="0"/>
                    <w:snapToGrid w:val="0"/>
                    <w:spacing w:line="240" w:lineRule="auto"/>
                    <w:jc w:val="center"/>
                    <w:rPr>
                      <w:rFonts w:eastAsia="宋体"/>
                      <w:sz w:val="21"/>
                      <w:szCs w:val="21"/>
                    </w:rPr>
                  </w:pPr>
                </w:p>
              </w:tc>
              <w:tc>
                <w:tcPr>
                  <w:tcW w:w="696" w:type="pct"/>
                  <w:vAlign w:val="center"/>
                </w:tcPr>
                <w:p>
                  <w:pPr>
                    <w:adjustRightInd w:val="0"/>
                    <w:snapToGrid w:val="0"/>
                    <w:spacing w:line="240" w:lineRule="auto"/>
                    <w:jc w:val="center"/>
                    <w:rPr>
                      <w:rFonts w:eastAsia="宋体"/>
                      <w:sz w:val="21"/>
                      <w:szCs w:val="21"/>
                    </w:rPr>
                  </w:pPr>
                  <w:r>
                    <w:rPr>
                      <w:rFonts w:hint="eastAsia" w:eastAsia="宋体"/>
                      <w:sz w:val="21"/>
                      <w:szCs w:val="21"/>
                    </w:rPr>
                    <w:t>35</w:t>
                  </w:r>
                </w:p>
              </w:tc>
              <w:tc>
                <w:tcPr>
                  <w:tcW w:w="553" w:type="pct"/>
                  <w:vAlign w:val="center"/>
                </w:tcPr>
                <w:p>
                  <w:pPr>
                    <w:adjustRightInd w:val="0"/>
                    <w:snapToGrid w:val="0"/>
                    <w:spacing w:line="240" w:lineRule="auto"/>
                    <w:jc w:val="center"/>
                    <w:rPr>
                      <w:rFonts w:hint="eastAsia" w:eastAsia="宋体"/>
                      <w:sz w:val="21"/>
                      <w:szCs w:val="21"/>
                      <w:lang w:eastAsia="zh-CN"/>
                    </w:rPr>
                  </w:pPr>
                  <w:r>
                    <w:rPr>
                      <w:rFonts w:hint="eastAsia" w:eastAsia="宋体"/>
                      <w:sz w:val="21"/>
                      <w:szCs w:val="21"/>
                    </w:rPr>
                    <w:t>0.641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98" w:type="pct"/>
                  <w:vMerge w:val="continue"/>
                  <w:vAlign w:val="center"/>
                </w:tcPr>
                <w:p>
                  <w:pPr>
                    <w:adjustRightInd w:val="0"/>
                    <w:snapToGrid w:val="0"/>
                    <w:spacing w:line="240" w:lineRule="auto"/>
                    <w:jc w:val="center"/>
                    <w:rPr>
                      <w:rFonts w:eastAsia="宋体"/>
                      <w:sz w:val="21"/>
                      <w:szCs w:val="21"/>
                    </w:rPr>
                  </w:pPr>
                </w:p>
              </w:tc>
              <w:tc>
                <w:tcPr>
                  <w:tcW w:w="715" w:type="pct"/>
                  <w:vAlign w:val="center"/>
                </w:tcPr>
                <w:p>
                  <w:pPr>
                    <w:adjustRightInd w:val="0"/>
                    <w:snapToGrid w:val="0"/>
                    <w:spacing w:line="240" w:lineRule="auto"/>
                    <w:jc w:val="center"/>
                    <w:rPr>
                      <w:rFonts w:eastAsia="宋体"/>
                      <w:sz w:val="21"/>
                      <w:szCs w:val="21"/>
                    </w:rPr>
                  </w:pPr>
                  <w:r>
                    <w:rPr>
                      <w:rFonts w:hint="eastAsia" w:eastAsia="宋体"/>
                      <w:sz w:val="21"/>
                      <w:szCs w:val="21"/>
                    </w:rPr>
                    <w:t>动植物油</w:t>
                  </w:r>
                </w:p>
              </w:tc>
              <w:tc>
                <w:tcPr>
                  <w:tcW w:w="755" w:type="pct"/>
                  <w:vMerge w:val="continue"/>
                  <w:vAlign w:val="center"/>
                </w:tcPr>
                <w:p>
                  <w:pPr>
                    <w:adjustRightInd w:val="0"/>
                    <w:snapToGrid w:val="0"/>
                    <w:spacing w:line="240" w:lineRule="auto"/>
                    <w:jc w:val="center"/>
                    <w:rPr>
                      <w:rFonts w:eastAsia="宋体"/>
                      <w:sz w:val="21"/>
                      <w:szCs w:val="21"/>
                    </w:rPr>
                  </w:pPr>
                </w:p>
              </w:tc>
              <w:tc>
                <w:tcPr>
                  <w:tcW w:w="696" w:type="pct"/>
                  <w:vAlign w:val="center"/>
                </w:tcPr>
                <w:p>
                  <w:pPr>
                    <w:adjustRightInd w:val="0"/>
                    <w:snapToGrid w:val="0"/>
                    <w:spacing w:line="240" w:lineRule="auto"/>
                    <w:jc w:val="center"/>
                    <w:rPr>
                      <w:rFonts w:eastAsia="宋体"/>
                      <w:sz w:val="21"/>
                      <w:szCs w:val="21"/>
                    </w:rPr>
                  </w:pPr>
                  <w:r>
                    <w:rPr>
                      <w:rFonts w:hint="eastAsia" w:eastAsia="宋体"/>
                      <w:sz w:val="21"/>
                      <w:szCs w:val="21"/>
                    </w:rPr>
                    <w:t>20</w:t>
                  </w:r>
                </w:p>
              </w:tc>
              <w:tc>
                <w:tcPr>
                  <w:tcW w:w="549" w:type="pct"/>
                  <w:vAlign w:val="center"/>
                </w:tcPr>
                <w:p>
                  <w:pPr>
                    <w:adjustRightInd w:val="0"/>
                    <w:snapToGrid w:val="0"/>
                    <w:spacing w:line="240" w:lineRule="auto"/>
                    <w:jc w:val="center"/>
                    <w:rPr>
                      <w:rFonts w:hint="eastAsia" w:eastAsia="宋体"/>
                      <w:sz w:val="21"/>
                      <w:szCs w:val="21"/>
                      <w:lang w:eastAsia="zh-CN"/>
                    </w:rPr>
                  </w:pPr>
                  <w:r>
                    <w:rPr>
                      <w:rFonts w:hint="eastAsia" w:eastAsia="宋体"/>
                      <w:sz w:val="21"/>
                      <w:szCs w:val="21"/>
                    </w:rPr>
                    <w:t>0.367</w:t>
                  </w:r>
                </w:p>
              </w:tc>
              <w:tc>
                <w:tcPr>
                  <w:tcW w:w="735" w:type="pct"/>
                  <w:vMerge w:val="continue"/>
                  <w:vAlign w:val="center"/>
                </w:tcPr>
                <w:p>
                  <w:pPr>
                    <w:adjustRightInd w:val="0"/>
                    <w:snapToGrid w:val="0"/>
                    <w:spacing w:line="240" w:lineRule="auto"/>
                    <w:jc w:val="center"/>
                    <w:rPr>
                      <w:rFonts w:eastAsia="宋体"/>
                      <w:sz w:val="21"/>
                      <w:szCs w:val="21"/>
                    </w:rPr>
                  </w:pPr>
                </w:p>
              </w:tc>
              <w:tc>
                <w:tcPr>
                  <w:tcW w:w="696" w:type="pct"/>
                  <w:vAlign w:val="center"/>
                </w:tcPr>
                <w:p>
                  <w:pPr>
                    <w:adjustRightInd w:val="0"/>
                    <w:snapToGrid w:val="0"/>
                    <w:spacing w:line="240" w:lineRule="auto"/>
                    <w:jc w:val="center"/>
                    <w:rPr>
                      <w:rFonts w:eastAsia="宋体"/>
                      <w:sz w:val="21"/>
                      <w:szCs w:val="21"/>
                    </w:rPr>
                  </w:pPr>
                  <w:r>
                    <w:rPr>
                      <w:rFonts w:hint="eastAsia" w:eastAsia="宋体"/>
                      <w:sz w:val="21"/>
                      <w:szCs w:val="21"/>
                    </w:rPr>
                    <w:t>20</w:t>
                  </w:r>
                </w:p>
              </w:tc>
              <w:tc>
                <w:tcPr>
                  <w:tcW w:w="553" w:type="pct"/>
                  <w:vAlign w:val="center"/>
                </w:tcPr>
                <w:p>
                  <w:pPr>
                    <w:adjustRightInd w:val="0"/>
                    <w:snapToGrid w:val="0"/>
                    <w:spacing w:line="240" w:lineRule="auto"/>
                    <w:jc w:val="center"/>
                    <w:rPr>
                      <w:rFonts w:hint="eastAsia" w:eastAsia="宋体"/>
                      <w:sz w:val="21"/>
                      <w:szCs w:val="21"/>
                      <w:lang w:eastAsia="zh-CN"/>
                    </w:rPr>
                  </w:pPr>
                  <w:r>
                    <w:rPr>
                      <w:rFonts w:hint="eastAsia" w:eastAsia="宋体"/>
                      <w:sz w:val="21"/>
                      <w:szCs w:val="21"/>
                    </w:rPr>
                    <w:t>0.367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98" w:type="pct"/>
                  <w:vMerge w:val="restart"/>
                  <w:vAlign w:val="center"/>
                </w:tcPr>
                <w:p>
                  <w:pPr>
                    <w:adjustRightInd w:val="0"/>
                    <w:snapToGrid w:val="0"/>
                    <w:spacing w:line="240" w:lineRule="auto"/>
                    <w:jc w:val="center"/>
                    <w:rPr>
                      <w:rFonts w:eastAsia="宋体"/>
                      <w:sz w:val="21"/>
                      <w:szCs w:val="21"/>
                    </w:rPr>
                  </w:pPr>
                  <w:r>
                    <w:rPr>
                      <w:rFonts w:hint="eastAsia" w:eastAsia="宋体"/>
                      <w:sz w:val="21"/>
                      <w:szCs w:val="21"/>
                    </w:rPr>
                    <w:t>实验室废水</w:t>
                  </w:r>
                </w:p>
              </w:tc>
              <w:tc>
                <w:tcPr>
                  <w:tcW w:w="715" w:type="pct"/>
                  <w:vAlign w:val="center"/>
                </w:tcPr>
                <w:p>
                  <w:pPr>
                    <w:adjustRightInd w:val="0"/>
                    <w:snapToGrid w:val="0"/>
                    <w:spacing w:line="240" w:lineRule="auto"/>
                    <w:jc w:val="center"/>
                    <w:rPr>
                      <w:rFonts w:eastAsia="宋体"/>
                      <w:sz w:val="21"/>
                      <w:szCs w:val="21"/>
                    </w:rPr>
                  </w:pPr>
                  <w:r>
                    <w:rPr>
                      <w:rFonts w:hint="eastAsia" w:eastAsia="宋体"/>
                      <w:sz w:val="21"/>
                      <w:szCs w:val="21"/>
                    </w:rPr>
                    <w:t>PH</w:t>
                  </w:r>
                </w:p>
              </w:tc>
              <w:tc>
                <w:tcPr>
                  <w:tcW w:w="755" w:type="pct"/>
                  <w:vMerge w:val="restart"/>
                  <w:vAlign w:val="center"/>
                </w:tcPr>
                <w:p>
                  <w:pPr>
                    <w:adjustRightInd w:val="0"/>
                    <w:snapToGrid w:val="0"/>
                    <w:spacing w:line="240" w:lineRule="auto"/>
                    <w:jc w:val="center"/>
                    <w:rPr>
                      <w:rFonts w:eastAsia="宋体"/>
                      <w:sz w:val="21"/>
                      <w:szCs w:val="21"/>
                    </w:rPr>
                  </w:pPr>
                  <w:r>
                    <w:rPr>
                      <w:rFonts w:hint="eastAsia" w:eastAsia="宋体"/>
                      <w:sz w:val="21"/>
                      <w:szCs w:val="21"/>
                    </w:rPr>
                    <w:t>378</w:t>
                  </w:r>
                </w:p>
              </w:tc>
              <w:tc>
                <w:tcPr>
                  <w:tcW w:w="696" w:type="pct"/>
                  <w:vAlign w:val="center"/>
                </w:tcPr>
                <w:p>
                  <w:pPr>
                    <w:adjustRightInd w:val="0"/>
                    <w:snapToGrid w:val="0"/>
                    <w:spacing w:line="240" w:lineRule="auto"/>
                    <w:jc w:val="center"/>
                    <w:rPr>
                      <w:rFonts w:eastAsia="宋体"/>
                      <w:sz w:val="21"/>
                      <w:szCs w:val="21"/>
                    </w:rPr>
                  </w:pPr>
                  <w:r>
                    <w:rPr>
                      <w:rFonts w:hint="eastAsia" w:eastAsia="宋体"/>
                      <w:sz w:val="21"/>
                      <w:szCs w:val="21"/>
                    </w:rPr>
                    <w:t>3-12</w:t>
                  </w:r>
                </w:p>
              </w:tc>
              <w:tc>
                <w:tcPr>
                  <w:tcW w:w="549" w:type="pct"/>
                  <w:vAlign w:val="center"/>
                </w:tcPr>
                <w:p>
                  <w:pPr>
                    <w:adjustRightInd w:val="0"/>
                    <w:snapToGrid w:val="0"/>
                    <w:spacing w:line="240" w:lineRule="auto"/>
                    <w:jc w:val="center"/>
                    <w:rPr>
                      <w:rFonts w:hint="eastAsia" w:eastAsia="宋体"/>
                      <w:sz w:val="21"/>
                      <w:szCs w:val="21"/>
                      <w:lang w:val="en-US" w:eastAsia="zh-CN"/>
                    </w:rPr>
                  </w:pPr>
                  <w:r>
                    <w:rPr>
                      <w:rFonts w:hint="eastAsia" w:eastAsia="宋体"/>
                      <w:sz w:val="21"/>
                      <w:szCs w:val="21"/>
                      <w:lang w:val="en-US" w:eastAsia="zh-CN"/>
                    </w:rPr>
                    <w:t>/</w:t>
                  </w:r>
                </w:p>
              </w:tc>
              <w:tc>
                <w:tcPr>
                  <w:tcW w:w="735" w:type="pct"/>
                  <w:vMerge w:val="restart"/>
                  <w:vAlign w:val="center"/>
                </w:tcPr>
                <w:p>
                  <w:pPr>
                    <w:adjustRightInd w:val="0"/>
                    <w:snapToGrid w:val="0"/>
                    <w:spacing w:line="240" w:lineRule="auto"/>
                    <w:jc w:val="center"/>
                    <w:rPr>
                      <w:rFonts w:eastAsia="宋体"/>
                      <w:sz w:val="21"/>
                      <w:szCs w:val="21"/>
                    </w:rPr>
                  </w:pPr>
                  <w:r>
                    <w:rPr>
                      <w:rFonts w:hint="eastAsia" w:eastAsia="宋体"/>
                      <w:sz w:val="21"/>
                      <w:szCs w:val="21"/>
                    </w:rPr>
                    <w:t>378</w:t>
                  </w:r>
                </w:p>
              </w:tc>
              <w:tc>
                <w:tcPr>
                  <w:tcW w:w="696" w:type="pct"/>
                  <w:vAlign w:val="center"/>
                </w:tcPr>
                <w:p>
                  <w:pPr>
                    <w:adjustRightInd w:val="0"/>
                    <w:snapToGrid w:val="0"/>
                    <w:spacing w:line="240" w:lineRule="auto"/>
                    <w:jc w:val="center"/>
                    <w:rPr>
                      <w:rFonts w:eastAsia="宋体"/>
                      <w:sz w:val="21"/>
                      <w:szCs w:val="21"/>
                    </w:rPr>
                  </w:pPr>
                  <w:r>
                    <w:rPr>
                      <w:rFonts w:hint="eastAsia" w:eastAsia="宋体"/>
                      <w:sz w:val="21"/>
                      <w:szCs w:val="21"/>
                    </w:rPr>
                    <w:t>3-12</w:t>
                  </w:r>
                </w:p>
              </w:tc>
              <w:tc>
                <w:tcPr>
                  <w:tcW w:w="553" w:type="pct"/>
                  <w:vAlign w:val="center"/>
                </w:tcPr>
                <w:p>
                  <w:pPr>
                    <w:adjustRightInd w:val="0"/>
                    <w:snapToGrid w:val="0"/>
                    <w:spacing w:line="240" w:lineRule="auto"/>
                    <w:jc w:val="center"/>
                    <w:rPr>
                      <w:rFonts w:hint="eastAsia" w:eastAsia="宋体"/>
                      <w:sz w:val="21"/>
                      <w:szCs w:val="21"/>
                      <w:lang w:val="en-US" w:eastAsia="zh-CN"/>
                    </w:rPr>
                  </w:pPr>
                  <w:r>
                    <w:rPr>
                      <w:rFonts w:hint="eastAsia" w:eastAsia="宋体"/>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98" w:type="pct"/>
                  <w:vMerge w:val="continue"/>
                  <w:vAlign w:val="center"/>
                </w:tcPr>
                <w:p>
                  <w:pPr>
                    <w:adjustRightInd w:val="0"/>
                    <w:snapToGrid w:val="0"/>
                    <w:spacing w:line="240" w:lineRule="auto"/>
                    <w:jc w:val="center"/>
                    <w:rPr>
                      <w:rFonts w:eastAsia="宋体"/>
                      <w:sz w:val="21"/>
                      <w:szCs w:val="21"/>
                    </w:rPr>
                  </w:pPr>
                </w:p>
              </w:tc>
              <w:tc>
                <w:tcPr>
                  <w:tcW w:w="715" w:type="pct"/>
                  <w:vAlign w:val="center"/>
                </w:tcPr>
                <w:p>
                  <w:pPr>
                    <w:adjustRightInd w:val="0"/>
                    <w:snapToGrid w:val="0"/>
                    <w:spacing w:line="240" w:lineRule="auto"/>
                    <w:jc w:val="center"/>
                    <w:rPr>
                      <w:rFonts w:eastAsia="宋体"/>
                      <w:sz w:val="21"/>
                      <w:szCs w:val="21"/>
                    </w:rPr>
                  </w:pPr>
                  <w:r>
                    <w:rPr>
                      <w:rFonts w:hint="eastAsia" w:eastAsia="宋体"/>
                      <w:sz w:val="21"/>
                      <w:szCs w:val="21"/>
                    </w:rPr>
                    <w:t>C</w:t>
                  </w:r>
                  <w:r>
                    <w:rPr>
                      <w:rFonts w:eastAsia="宋体"/>
                      <w:sz w:val="21"/>
                      <w:szCs w:val="21"/>
                    </w:rPr>
                    <w:t>OD</w:t>
                  </w:r>
                </w:p>
              </w:tc>
              <w:tc>
                <w:tcPr>
                  <w:tcW w:w="755" w:type="pct"/>
                  <w:vMerge w:val="continue"/>
                  <w:vAlign w:val="center"/>
                </w:tcPr>
                <w:p>
                  <w:pPr>
                    <w:adjustRightInd w:val="0"/>
                    <w:snapToGrid w:val="0"/>
                    <w:spacing w:line="240" w:lineRule="auto"/>
                    <w:jc w:val="center"/>
                    <w:rPr>
                      <w:rFonts w:eastAsia="宋体"/>
                      <w:sz w:val="21"/>
                      <w:szCs w:val="21"/>
                    </w:rPr>
                  </w:pPr>
                </w:p>
              </w:tc>
              <w:tc>
                <w:tcPr>
                  <w:tcW w:w="696" w:type="pct"/>
                  <w:vAlign w:val="center"/>
                </w:tcPr>
                <w:p>
                  <w:pPr>
                    <w:adjustRightInd w:val="0"/>
                    <w:snapToGrid w:val="0"/>
                    <w:spacing w:line="240" w:lineRule="auto"/>
                    <w:jc w:val="center"/>
                    <w:rPr>
                      <w:rFonts w:eastAsia="宋体"/>
                      <w:sz w:val="21"/>
                      <w:szCs w:val="21"/>
                    </w:rPr>
                  </w:pPr>
                  <w:r>
                    <w:rPr>
                      <w:rFonts w:hint="eastAsia" w:eastAsia="宋体"/>
                      <w:sz w:val="21"/>
                      <w:szCs w:val="21"/>
                    </w:rPr>
                    <w:t>2</w:t>
                  </w:r>
                  <w:r>
                    <w:rPr>
                      <w:rFonts w:eastAsia="宋体"/>
                      <w:sz w:val="21"/>
                      <w:szCs w:val="21"/>
                    </w:rPr>
                    <w:t>00</w:t>
                  </w:r>
                </w:p>
              </w:tc>
              <w:tc>
                <w:tcPr>
                  <w:tcW w:w="549" w:type="pct"/>
                  <w:vAlign w:val="center"/>
                </w:tcPr>
                <w:p>
                  <w:pPr>
                    <w:adjustRightInd w:val="0"/>
                    <w:snapToGrid w:val="0"/>
                    <w:spacing w:line="240" w:lineRule="auto"/>
                    <w:jc w:val="center"/>
                    <w:rPr>
                      <w:rFonts w:hint="eastAsia" w:eastAsia="宋体"/>
                      <w:sz w:val="21"/>
                      <w:szCs w:val="21"/>
                      <w:lang w:eastAsia="zh-CN"/>
                    </w:rPr>
                  </w:pPr>
                  <w:r>
                    <w:rPr>
                      <w:rFonts w:eastAsia="宋体"/>
                      <w:sz w:val="21"/>
                      <w:szCs w:val="21"/>
                    </w:rPr>
                    <w:t>0.076</w:t>
                  </w:r>
                </w:p>
              </w:tc>
              <w:tc>
                <w:tcPr>
                  <w:tcW w:w="735" w:type="pct"/>
                  <w:vMerge w:val="continue"/>
                  <w:vAlign w:val="center"/>
                </w:tcPr>
                <w:p>
                  <w:pPr>
                    <w:adjustRightInd w:val="0"/>
                    <w:snapToGrid w:val="0"/>
                    <w:spacing w:line="240" w:lineRule="auto"/>
                    <w:jc w:val="center"/>
                    <w:rPr>
                      <w:rFonts w:eastAsia="宋体"/>
                      <w:sz w:val="21"/>
                      <w:szCs w:val="21"/>
                    </w:rPr>
                  </w:pPr>
                </w:p>
              </w:tc>
              <w:tc>
                <w:tcPr>
                  <w:tcW w:w="696" w:type="pct"/>
                  <w:vAlign w:val="center"/>
                </w:tcPr>
                <w:p>
                  <w:pPr>
                    <w:adjustRightInd w:val="0"/>
                    <w:snapToGrid w:val="0"/>
                    <w:spacing w:line="240" w:lineRule="auto"/>
                    <w:jc w:val="center"/>
                    <w:rPr>
                      <w:rFonts w:eastAsia="宋体"/>
                      <w:sz w:val="21"/>
                      <w:szCs w:val="21"/>
                    </w:rPr>
                  </w:pPr>
                  <w:r>
                    <w:rPr>
                      <w:rFonts w:hint="eastAsia" w:eastAsia="宋体"/>
                      <w:sz w:val="21"/>
                      <w:szCs w:val="21"/>
                    </w:rPr>
                    <w:t>2</w:t>
                  </w:r>
                  <w:r>
                    <w:rPr>
                      <w:rFonts w:eastAsia="宋体"/>
                      <w:sz w:val="21"/>
                      <w:szCs w:val="21"/>
                    </w:rPr>
                    <w:t>00</w:t>
                  </w:r>
                </w:p>
              </w:tc>
              <w:tc>
                <w:tcPr>
                  <w:tcW w:w="553" w:type="pct"/>
                  <w:vAlign w:val="center"/>
                </w:tcPr>
                <w:p>
                  <w:pPr>
                    <w:adjustRightInd w:val="0"/>
                    <w:snapToGrid w:val="0"/>
                    <w:spacing w:line="240" w:lineRule="auto"/>
                    <w:jc w:val="center"/>
                    <w:rPr>
                      <w:rFonts w:hint="eastAsia" w:eastAsia="宋体"/>
                      <w:sz w:val="21"/>
                      <w:szCs w:val="21"/>
                      <w:lang w:eastAsia="zh-CN"/>
                    </w:rPr>
                  </w:pPr>
                  <w:r>
                    <w:rPr>
                      <w:rFonts w:eastAsia="宋体"/>
                      <w:sz w:val="21"/>
                      <w:szCs w:val="21"/>
                    </w:rPr>
                    <w:t>0.076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98" w:type="pct"/>
                  <w:vMerge w:val="continue"/>
                  <w:vAlign w:val="center"/>
                </w:tcPr>
                <w:p>
                  <w:pPr>
                    <w:adjustRightInd w:val="0"/>
                    <w:snapToGrid w:val="0"/>
                    <w:spacing w:line="240" w:lineRule="auto"/>
                    <w:jc w:val="center"/>
                    <w:rPr>
                      <w:rFonts w:eastAsia="宋体"/>
                      <w:sz w:val="21"/>
                      <w:szCs w:val="21"/>
                    </w:rPr>
                  </w:pPr>
                </w:p>
              </w:tc>
              <w:tc>
                <w:tcPr>
                  <w:tcW w:w="715" w:type="pct"/>
                  <w:vAlign w:val="center"/>
                </w:tcPr>
                <w:p>
                  <w:pPr>
                    <w:adjustRightInd w:val="0"/>
                    <w:snapToGrid w:val="0"/>
                    <w:spacing w:line="240" w:lineRule="auto"/>
                    <w:jc w:val="center"/>
                    <w:rPr>
                      <w:rFonts w:eastAsia="宋体"/>
                      <w:sz w:val="21"/>
                      <w:szCs w:val="21"/>
                    </w:rPr>
                  </w:pPr>
                  <w:r>
                    <w:rPr>
                      <w:rFonts w:hint="eastAsia" w:eastAsia="宋体"/>
                      <w:sz w:val="21"/>
                      <w:szCs w:val="21"/>
                    </w:rPr>
                    <w:t>N</w:t>
                  </w:r>
                  <w:r>
                    <w:rPr>
                      <w:rFonts w:eastAsia="宋体"/>
                      <w:sz w:val="21"/>
                      <w:szCs w:val="21"/>
                    </w:rPr>
                    <w:t>H</w:t>
                  </w:r>
                  <w:r>
                    <w:rPr>
                      <w:rFonts w:eastAsia="宋体"/>
                      <w:sz w:val="21"/>
                      <w:szCs w:val="21"/>
                      <w:vertAlign w:val="subscript"/>
                    </w:rPr>
                    <w:t>3</w:t>
                  </w:r>
                  <w:r>
                    <w:rPr>
                      <w:rFonts w:eastAsia="宋体"/>
                      <w:sz w:val="21"/>
                      <w:szCs w:val="21"/>
                    </w:rPr>
                    <w:t>-N</w:t>
                  </w:r>
                </w:p>
              </w:tc>
              <w:tc>
                <w:tcPr>
                  <w:tcW w:w="755" w:type="pct"/>
                  <w:vMerge w:val="continue"/>
                  <w:vAlign w:val="center"/>
                </w:tcPr>
                <w:p>
                  <w:pPr>
                    <w:adjustRightInd w:val="0"/>
                    <w:snapToGrid w:val="0"/>
                    <w:spacing w:line="240" w:lineRule="auto"/>
                    <w:jc w:val="center"/>
                    <w:rPr>
                      <w:rFonts w:eastAsia="宋体"/>
                      <w:sz w:val="21"/>
                      <w:szCs w:val="21"/>
                    </w:rPr>
                  </w:pPr>
                </w:p>
              </w:tc>
              <w:tc>
                <w:tcPr>
                  <w:tcW w:w="696" w:type="pct"/>
                  <w:vAlign w:val="center"/>
                </w:tcPr>
                <w:p>
                  <w:pPr>
                    <w:adjustRightInd w:val="0"/>
                    <w:snapToGrid w:val="0"/>
                    <w:spacing w:line="240" w:lineRule="auto"/>
                    <w:jc w:val="center"/>
                    <w:rPr>
                      <w:rFonts w:eastAsia="宋体"/>
                      <w:sz w:val="21"/>
                      <w:szCs w:val="21"/>
                    </w:rPr>
                  </w:pPr>
                  <w:r>
                    <w:rPr>
                      <w:rFonts w:hint="eastAsia" w:eastAsia="宋体"/>
                      <w:sz w:val="21"/>
                      <w:szCs w:val="21"/>
                    </w:rPr>
                    <w:t>2</w:t>
                  </w:r>
                  <w:r>
                    <w:rPr>
                      <w:rFonts w:eastAsia="宋体"/>
                      <w:sz w:val="21"/>
                      <w:szCs w:val="21"/>
                    </w:rPr>
                    <w:t>0</w:t>
                  </w:r>
                </w:p>
              </w:tc>
              <w:tc>
                <w:tcPr>
                  <w:tcW w:w="549" w:type="pct"/>
                  <w:vAlign w:val="center"/>
                </w:tcPr>
                <w:p>
                  <w:pPr>
                    <w:adjustRightInd w:val="0"/>
                    <w:snapToGrid w:val="0"/>
                    <w:spacing w:line="240" w:lineRule="auto"/>
                    <w:jc w:val="center"/>
                    <w:rPr>
                      <w:rFonts w:hint="eastAsia" w:eastAsia="宋体"/>
                      <w:sz w:val="21"/>
                      <w:szCs w:val="21"/>
                      <w:lang w:eastAsia="zh-CN"/>
                    </w:rPr>
                  </w:pPr>
                  <w:r>
                    <w:rPr>
                      <w:rFonts w:eastAsia="宋体"/>
                      <w:sz w:val="21"/>
                      <w:szCs w:val="21"/>
                    </w:rPr>
                    <w:t>0.008</w:t>
                  </w:r>
                </w:p>
              </w:tc>
              <w:tc>
                <w:tcPr>
                  <w:tcW w:w="735" w:type="pct"/>
                  <w:vMerge w:val="continue"/>
                  <w:vAlign w:val="center"/>
                </w:tcPr>
                <w:p>
                  <w:pPr>
                    <w:adjustRightInd w:val="0"/>
                    <w:snapToGrid w:val="0"/>
                    <w:spacing w:line="240" w:lineRule="auto"/>
                    <w:jc w:val="center"/>
                    <w:rPr>
                      <w:rFonts w:eastAsia="宋体"/>
                      <w:sz w:val="21"/>
                      <w:szCs w:val="21"/>
                    </w:rPr>
                  </w:pPr>
                </w:p>
              </w:tc>
              <w:tc>
                <w:tcPr>
                  <w:tcW w:w="696" w:type="pct"/>
                  <w:vAlign w:val="center"/>
                </w:tcPr>
                <w:p>
                  <w:pPr>
                    <w:adjustRightInd w:val="0"/>
                    <w:snapToGrid w:val="0"/>
                    <w:spacing w:line="240" w:lineRule="auto"/>
                    <w:jc w:val="center"/>
                    <w:rPr>
                      <w:rFonts w:eastAsia="宋体"/>
                      <w:sz w:val="21"/>
                      <w:szCs w:val="21"/>
                    </w:rPr>
                  </w:pPr>
                  <w:r>
                    <w:rPr>
                      <w:rFonts w:hint="eastAsia" w:eastAsia="宋体"/>
                      <w:sz w:val="21"/>
                      <w:szCs w:val="21"/>
                    </w:rPr>
                    <w:t>2</w:t>
                  </w:r>
                  <w:r>
                    <w:rPr>
                      <w:rFonts w:eastAsia="宋体"/>
                      <w:sz w:val="21"/>
                      <w:szCs w:val="21"/>
                    </w:rPr>
                    <w:t>0</w:t>
                  </w:r>
                </w:p>
              </w:tc>
              <w:tc>
                <w:tcPr>
                  <w:tcW w:w="553" w:type="pct"/>
                  <w:vAlign w:val="center"/>
                </w:tcPr>
                <w:p>
                  <w:pPr>
                    <w:adjustRightInd w:val="0"/>
                    <w:snapToGrid w:val="0"/>
                    <w:spacing w:line="240" w:lineRule="auto"/>
                    <w:jc w:val="center"/>
                    <w:rPr>
                      <w:rFonts w:hint="eastAsia" w:eastAsia="宋体"/>
                      <w:sz w:val="21"/>
                      <w:szCs w:val="21"/>
                      <w:lang w:eastAsia="zh-CN"/>
                    </w:rPr>
                  </w:pPr>
                  <w:r>
                    <w:rPr>
                      <w:rFonts w:eastAsia="宋体"/>
                      <w:sz w:val="21"/>
                      <w:szCs w:val="21"/>
                    </w:rPr>
                    <w:t>0.008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98" w:type="pct"/>
                  <w:vMerge w:val="continue"/>
                  <w:vAlign w:val="center"/>
                </w:tcPr>
                <w:p>
                  <w:pPr>
                    <w:adjustRightInd w:val="0"/>
                    <w:snapToGrid w:val="0"/>
                    <w:spacing w:line="240" w:lineRule="auto"/>
                    <w:jc w:val="center"/>
                    <w:rPr>
                      <w:rFonts w:eastAsia="宋体"/>
                      <w:sz w:val="21"/>
                      <w:szCs w:val="21"/>
                    </w:rPr>
                  </w:pPr>
                </w:p>
              </w:tc>
              <w:tc>
                <w:tcPr>
                  <w:tcW w:w="715" w:type="pct"/>
                  <w:vAlign w:val="center"/>
                </w:tcPr>
                <w:p>
                  <w:pPr>
                    <w:adjustRightInd w:val="0"/>
                    <w:snapToGrid w:val="0"/>
                    <w:spacing w:line="240" w:lineRule="auto"/>
                    <w:jc w:val="center"/>
                    <w:rPr>
                      <w:rFonts w:eastAsia="宋体"/>
                      <w:sz w:val="21"/>
                      <w:szCs w:val="21"/>
                    </w:rPr>
                  </w:pPr>
                  <w:r>
                    <w:rPr>
                      <w:rFonts w:hint="eastAsia" w:eastAsia="宋体"/>
                      <w:sz w:val="21"/>
                      <w:szCs w:val="21"/>
                    </w:rPr>
                    <w:t>S</w:t>
                  </w:r>
                  <w:r>
                    <w:rPr>
                      <w:rFonts w:eastAsia="宋体"/>
                      <w:sz w:val="21"/>
                      <w:szCs w:val="21"/>
                    </w:rPr>
                    <w:t>S</w:t>
                  </w:r>
                </w:p>
              </w:tc>
              <w:tc>
                <w:tcPr>
                  <w:tcW w:w="755" w:type="pct"/>
                  <w:vMerge w:val="continue"/>
                  <w:vAlign w:val="center"/>
                </w:tcPr>
                <w:p>
                  <w:pPr>
                    <w:adjustRightInd w:val="0"/>
                    <w:snapToGrid w:val="0"/>
                    <w:spacing w:line="240" w:lineRule="auto"/>
                    <w:jc w:val="center"/>
                    <w:rPr>
                      <w:rFonts w:eastAsia="宋体"/>
                      <w:sz w:val="21"/>
                      <w:szCs w:val="21"/>
                    </w:rPr>
                  </w:pPr>
                </w:p>
              </w:tc>
              <w:tc>
                <w:tcPr>
                  <w:tcW w:w="696" w:type="pct"/>
                  <w:vAlign w:val="center"/>
                </w:tcPr>
                <w:p>
                  <w:pPr>
                    <w:adjustRightInd w:val="0"/>
                    <w:snapToGrid w:val="0"/>
                    <w:spacing w:line="240" w:lineRule="auto"/>
                    <w:jc w:val="center"/>
                    <w:rPr>
                      <w:rFonts w:eastAsia="宋体"/>
                      <w:sz w:val="21"/>
                      <w:szCs w:val="21"/>
                    </w:rPr>
                  </w:pPr>
                  <w:r>
                    <w:rPr>
                      <w:rFonts w:hint="eastAsia" w:eastAsia="宋体"/>
                      <w:sz w:val="21"/>
                      <w:szCs w:val="21"/>
                    </w:rPr>
                    <w:t>1</w:t>
                  </w:r>
                  <w:r>
                    <w:rPr>
                      <w:rFonts w:eastAsia="宋体"/>
                      <w:sz w:val="21"/>
                      <w:szCs w:val="21"/>
                    </w:rPr>
                    <w:t>50</w:t>
                  </w:r>
                </w:p>
              </w:tc>
              <w:tc>
                <w:tcPr>
                  <w:tcW w:w="549" w:type="pct"/>
                  <w:vAlign w:val="center"/>
                </w:tcPr>
                <w:p>
                  <w:pPr>
                    <w:adjustRightInd w:val="0"/>
                    <w:snapToGrid w:val="0"/>
                    <w:spacing w:line="240" w:lineRule="auto"/>
                    <w:jc w:val="center"/>
                    <w:rPr>
                      <w:rFonts w:hint="eastAsia" w:eastAsia="宋体"/>
                      <w:sz w:val="21"/>
                      <w:szCs w:val="21"/>
                      <w:lang w:eastAsia="zh-CN"/>
                    </w:rPr>
                  </w:pPr>
                  <w:r>
                    <w:rPr>
                      <w:rFonts w:eastAsia="宋体"/>
                      <w:sz w:val="21"/>
                      <w:szCs w:val="21"/>
                    </w:rPr>
                    <w:t>0.057</w:t>
                  </w:r>
                </w:p>
              </w:tc>
              <w:tc>
                <w:tcPr>
                  <w:tcW w:w="735" w:type="pct"/>
                  <w:vMerge w:val="continue"/>
                  <w:vAlign w:val="center"/>
                </w:tcPr>
                <w:p>
                  <w:pPr>
                    <w:adjustRightInd w:val="0"/>
                    <w:snapToGrid w:val="0"/>
                    <w:spacing w:line="240" w:lineRule="auto"/>
                    <w:jc w:val="center"/>
                    <w:rPr>
                      <w:rFonts w:eastAsia="宋体"/>
                      <w:sz w:val="21"/>
                      <w:szCs w:val="21"/>
                    </w:rPr>
                  </w:pPr>
                </w:p>
              </w:tc>
              <w:tc>
                <w:tcPr>
                  <w:tcW w:w="696" w:type="pct"/>
                  <w:vAlign w:val="center"/>
                </w:tcPr>
                <w:p>
                  <w:pPr>
                    <w:adjustRightInd w:val="0"/>
                    <w:snapToGrid w:val="0"/>
                    <w:spacing w:line="240" w:lineRule="auto"/>
                    <w:jc w:val="center"/>
                    <w:rPr>
                      <w:rFonts w:eastAsia="宋体"/>
                      <w:sz w:val="21"/>
                      <w:szCs w:val="21"/>
                    </w:rPr>
                  </w:pPr>
                  <w:r>
                    <w:rPr>
                      <w:rFonts w:hint="eastAsia" w:eastAsia="宋体"/>
                      <w:sz w:val="21"/>
                      <w:szCs w:val="21"/>
                    </w:rPr>
                    <w:t>1</w:t>
                  </w:r>
                  <w:r>
                    <w:rPr>
                      <w:rFonts w:eastAsia="宋体"/>
                      <w:sz w:val="21"/>
                      <w:szCs w:val="21"/>
                    </w:rPr>
                    <w:t>50</w:t>
                  </w:r>
                </w:p>
              </w:tc>
              <w:tc>
                <w:tcPr>
                  <w:tcW w:w="553" w:type="pct"/>
                  <w:vAlign w:val="center"/>
                </w:tcPr>
                <w:p>
                  <w:pPr>
                    <w:adjustRightInd w:val="0"/>
                    <w:snapToGrid w:val="0"/>
                    <w:spacing w:line="240" w:lineRule="auto"/>
                    <w:jc w:val="center"/>
                    <w:rPr>
                      <w:rFonts w:hint="eastAsia" w:eastAsia="宋体"/>
                      <w:sz w:val="21"/>
                      <w:szCs w:val="21"/>
                      <w:lang w:eastAsia="zh-CN"/>
                    </w:rPr>
                  </w:pPr>
                  <w:r>
                    <w:rPr>
                      <w:rFonts w:eastAsia="宋体"/>
                      <w:sz w:val="21"/>
                      <w:szCs w:val="21"/>
                    </w:rPr>
                    <w:t>0.057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98" w:type="pct"/>
                  <w:vMerge w:val="restart"/>
                  <w:vAlign w:val="center"/>
                </w:tcPr>
                <w:p>
                  <w:pPr>
                    <w:adjustRightInd w:val="0"/>
                    <w:snapToGrid w:val="0"/>
                    <w:spacing w:line="240" w:lineRule="auto"/>
                    <w:jc w:val="center"/>
                    <w:rPr>
                      <w:rFonts w:eastAsia="宋体"/>
                      <w:sz w:val="21"/>
                      <w:szCs w:val="21"/>
                    </w:rPr>
                  </w:pPr>
                  <w:r>
                    <w:rPr>
                      <w:rFonts w:hint="eastAsia" w:eastAsia="宋体"/>
                      <w:sz w:val="21"/>
                      <w:szCs w:val="21"/>
                    </w:rPr>
                    <w:t>合计</w:t>
                  </w:r>
                </w:p>
              </w:tc>
              <w:tc>
                <w:tcPr>
                  <w:tcW w:w="715" w:type="pct"/>
                  <w:vAlign w:val="center"/>
                </w:tcPr>
                <w:p>
                  <w:pPr>
                    <w:adjustRightInd w:val="0"/>
                    <w:snapToGrid w:val="0"/>
                    <w:spacing w:line="240" w:lineRule="auto"/>
                    <w:jc w:val="center"/>
                    <w:rPr>
                      <w:rFonts w:eastAsia="宋体"/>
                      <w:sz w:val="21"/>
                      <w:szCs w:val="21"/>
                    </w:rPr>
                  </w:pPr>
                  <w:r>
                    <w:rPr>
                      <w:rFonts w:hint="eastAsia" w:eastAsia="宋体"/>
                      <w:sz w:val="21"/>
                      <w:szCs w:val="21"/>
                    </w:rPr>
                    <w:t>C</w:t>
                  </w:r>
                  <w:r>
                    <w:rPr>
                      <w:rFonts w:eastAsia="宋体"/>
                      <w:sz w:val="21"/>
                      <w:szCs w:val="21"/>
                    </w:rPr>
                    <w:t>OD</w:t>
                  </w:r>
                </w:p>
              </w:tc>
              <w:tc>
                <w:tcPr>
                  <w:tcW w:w="755" w:type="pct"/>
                  <w:vMerge w:val="restart"/>
                  <w:vAlign w:val="center"/>
                </w:tcPr>
                <w:p>
                  <w:pPr>
                    <w:widowControl/>
                    <w:adjustRightInd w:val="0"/>
                    <w:snapToGrid w:val="0"/>
                    <w:spacing w:line="240" w:lineRule="auto"/>
                    <w:jc w:val="center"/>
                    <w:rPr>
                      <w:rFonts w:eastAsia="宋体"/>
                      <w:sz w:val="21"/>
                      <w:szCs w:val="21"/>
                    </w:rPr>
                  </w:pPr>
                  <w:r>
                    <w:rPr>
                      <w:rFonts w:hint="eastAsia" w:eastAsia="宋体"/>
                      <w:sz w:val="21"/>
                      <w:szCs w:val="21"/>
                      <w:lang w:bidi="ar"/>
                    </w:rPr>
                    <w:t>18706.378</w:t>
                  </w:r>
                </w:p>
              </w:tc>
              <w:tc>
                <w:tcPr>
                  <w:tcW w:w="696" w:type="pct"/>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lang w:bidi="ar"/>
                    </w:rPr>
                    <w:t>346.969</w:t>
                  </w:r>
                </w:p>
              </w:tc>
              <w:tc>
                <w:tcPr>
                  <w:tcW w:w="549" w:type="pct"/>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lang w:bidi="ar"/>
                    </w:rPr>
                    <w:t>6.491</w:t>
                  </w:r>
                </w:p>
              </w:tc>
              <w:tc>
                <w:tcPr>
                  <w:tcW w:w="735" w:type="pct"/>
                  <w:vMerge w:val="restart"/>
                  <w:vAlign w:val="center"/>
                </w:tcPr>
                <w:p>
                  <w:pPr>
                    <w:widowControl/>
                    <w:adjustRightInd w:val="0"/>
                    <w:snapToGrid w:val="0"/>
                    <w:spacing w:line="240" w:lineRule="auto"/>
                    <w:jc w:val="center"/>
                    <w:rPr>
                      <w:rFonts w:eastAsia="宋体"/>
                      <w:sz w:val="21"/>
                      <w:szCs w:val="21"/>
                    </w:rPr>
                  </w:pPr>
                  <w:r>
                    <w:rPr>
                      <w:rFonts w:hint="eastAsia" w:eastAsia="宋体"/>
                      <w:sz w:val="21"/>
                      <w:szCs w:val="21"/>
                      <w:lang w:bidi="ar"/>
                    </w:rPr>
                    <w:t>18706.378</w:t>
                  </w:r>
                </w:p>
              </w:tc>
              <w:tc>
                <w:tcPr>
                  <w:tcW w:w="696" w:type="pct"/>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lang w:bidi="ar"/>
                    </w:rPr>
                    <w:t>346.969</w:t>
                  </w:r>
                </w:p>
              </w:tc>
              <w:tc>
                <w:tcPr>
                  <w:tcW w:w="553" w:type="pct"/>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lang w:bidi="ar"/>
                    </w:rPr>
                    <w:t>6.491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98" w:type="pct"/>
                  <w:vMerge w:val="continue"/>
                  <w:vAlign w:val="center"/>
                </w:tcPr>
                <w:p>
                  <w:pPr>
                    <w:adjustRightInd w:val="0"/>
                    <w:snapToGrid w:val="0"/>
                    <w:spacing w:line="240" w:lineRule="auto"/>
                    <w:jc w:val="center"/>
                    <w:rPr>
                      <w:rFonts w:eastAsia="宋体"/>
                      <w:sz w:val="21"/>
                      <w:szCs w:val="21"/>
                    </w:rPr>
                  </w:pPr>
                </w:p>
              </w:tc>
              <w:tc>
                <w:tcPr>
                  <w:tcW w:w="715" w:type="pct"/>
                  <w:vAlign w:val="center"/>
                </w:tcPr>
                <w:p>
                  <w:pPr>
                    <w:adjustRightInd w:val="0"/>
                    <w:snapToGrid w:val="0"/>
                    <w:spacing w:line="240" w:lineRule="auto"/>
                    <w:jc w:val="center"/>
                    <w:rPr>
                      <w:rFonts w:eastAsia="宋体"/>
                      <w:sz w:val="21"/>
                      <w:szCs w:val="21"/>
                    </w:rPr>
                  </w:pPr>
                  <w:r>
                    <w:rPr>
                      <w:rFonts w:hint="eastAsia" w:eastAsia="宋体"/>
                      <w:sz w:val="21"/>
                      <w:szCs w:val="21"/>
                    </w:rPr>
                    <w:t>N</w:t>
                  </w:r>
                  <w:r>
                    <w:rPr>
                      <w:rFonts w:eastAsia="宋体"/>
                      <w:sz w:val="21"/>
                      <w:szCs w:val="21"/>
                    </w:rPr>
                    <w:t>H</w:t>
                  </w:r>
                  <w:r>
                    <w:rPr>
                      <w:rFonts w:eastAsia="宋体"/>
                      <w:sz w:val="21"/>
                      <w:szCs w:val="21"/>
                      <w:vertAlign w:val="subscript"/>
                    </w:rPr>
                    <w:t>3</w:t>
                  </w:r>
                  <w:r>
                    <w:rPr>
                      <w:rFonts w:eastAsia="宋体"/>
                      <w:sz w:val="21"/>
                      <w:szCs w:val="21"/>
                    </w:rPr>
                    <w:t>-N</w:t>
                  </w:r>
                </w:p>
              </w:tc>
              <w:tc>
                <w:tcPr>
                  <w:tcW w:w="755" w:type="pct"/>
                  <w:vMerge w:val="continue"/>
                  <w:vAlign w:val="center"/>
                </w:tcPr>
                <w:p>
                  <w:pPr>
                    <w:adjustRightInd w:val="0"/>
                    <w:snapToGrid w:val="0"/>
                    <w:spacing w:line="240" w:lineRule="auto"/>
                    <w:jc w:val="center"/>
                    <w:rPr>
                      <w:rFonts w:eastAsia="宋体"/>
                      <w:sz w:val="21"/>
                      <w:szCs w:val="21"/>
                    </w:rPr>
                  </w:pPr>
                </w:p>
              </w:tc>
              <w:tc>
                <w:tcPr>
                  <w:tcW w:w="696" w:type="pct"/>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lang w:bidi="ar"/>
                    </w:rPr>
                    <w:t>34.697</w:t>
                  </w:r>
                </w:p>
              </w:tc>
              <w:tc>
                <w:tcPr>
                  <w:tcW w:w="549" w:type="pct"/>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lang w:bidi="ar"/>
                    </w:rPr>
                    <w:t>0.649</w:t>
                  </w:r>
                </w:p>
              </w:tc>
              <w:tc>
                <w:tcPr>
                  <w:tcW w:w="735" w:type="pct"/>
                  <w:vMerge w:val="continue"/>
                  <w:vAlign w:val="center"/>
                </w:tcPr>
                <w:p>
                  <w:pPr>
                    <w:adjustRightInd w:val="0"/>
                    <w:snapToGrid w:val="0"/>
                    <w:spacing w:line="240" w:lineRule="auto"/>
                    <w:jc w:val="center"/>
                    <w:rPr>
                      <w:rFonts w:eastAsia="宋体"/>
                      <w:sz w:val="21"/>
                      <w:szCs w:val="21"/>
                    </w:rPr>
                  </w:pPr>
                </w:p>
              </w:tc>
              <w:tc>
                <w:tcPr>
                  <w:tcW w:w="696" w:type="pct"/>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lang w:bidi="ar"/>
                    </w:rPr>
                    <w:t>34.697</w:t>
                  </w:r>
                </w:p>
              </w:tc>
              <w:tc>
                <w:tcPr>
                  <w:tcW w:w="553" w:type="pct"/>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lang w:bidi="ar"/>
                    </w:rPr>
                    <w:t>0.649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98" w:type="pct"/>
                  <w:vMerge w:val="continue"/>
                  <w:vAlign w:val="center"/>
                </w:tcPr>
                <w:p>
                  <w:pPr>
                    <w:adjustRightInd w:val="0"/>
                    <w:snapToGrid w:val="0"/>
                    <w:spacing w:line="240" w:lineRule="auto"/>
                    <w:jc w:val="center"/>
                    <w:rPr>
                      <w:rFonts w:eastAsia="宋体"/>
                      <w:sz w:val="21"/>
                      <w:szCs w:val="21"/>
                    </w:rPr>
                  </w:pPr>
                </w:p>
              </w:tc>
              <w:tc>
                <w:tcPr>
                  <w:tcW w:w="715" w:type="pct"/>
                  <w:vAlign w:val="center"/>
                </w:tcPr>
                <w:p>
                  <w:pPr>
                    <w:adjustRightInd w:val="0"/>
                    <w:snapToGrid w:val="0"/>
                    <w:spacing w:line="240" w:lineRule="auto"/>
                    <w:jc w:val="center"/>
                    <w:rPr>
                      <w:rFonts w:eastAsia="宋体"/>
                      <w:sz w:val="21"/>
                      <w:szCs w:val="21"/>
                    </w:rPr>
                  </w:pPr>
                  <w:r>
                    <w:rPr>
                      <w:rFonts w:hint="eastAsia" w:eastAsia="宋体"/>
                      <w:sz w:val="21"/>
                      <w:szCs w:val="21"/>
                    </w:rPr>
                    <w:t>S</w:t>
                  </w:r>
                  <w:r>
                    <w:rPr>
                      <w:rFonts w:eastAsia="宋体"/>
                      <w:sz w:val="21"/>
                      <w:szCs w:val="21"/>
                    </w:rPr>
                    <w:t>S</w:t>
                  </w:r>
                </w:p>
              </w:tc>
              <w:tc>
                <w:tcPr>
                  <w:tcW w:w="755" w:type="pct"/>
                  <w:vMerge w:val="continue"/>
                  <w:vAlign w:val="center"/>
                </w:tcPr>
                <w:p>
                  <w:pPr>
                    <w:adjustRightInd w:val="0"/>
                    <w:snapToGrid w:val="0"/>
                    <w:spacing w:line="240" w:lineRule="auto"/>
                    <w:jc w:val="center"/>
                    <w:rPr>
                      <w:rFonts w:eastAsia="宋体"/>
                      <w:sz w:val="21"/>
                      <w:szCs w:val="21"/>
                    </w:rPr>
                  </w:pPr>
                </w:p>
              </w:tc>
              <w:tc>
                <w:tcPr>
                  <w:tcW w:w="696" w:type="pct"/>
                  <w:vAlign w:val="center"/>
                </w:tcPr>
                <w:p>
                  <w:pPr>
                    <w:adjustRightInd w:val="0"/>
                    <w:snapToGrid w:val="0"/>
                    <w:spacing w:line="240" w:lineRule="auto"/>
                    <w:jc w:val="center"/>
                    <w:rPr>
                      <w:rFonts w:eastAsia="宋体"/>
                      <w:sz w:val="21"/>
                      <w:szCs w:val="21"/>
                    </w:rPr>
                  </w:pPr>
                  <w:r>
                    <w:rPr>
                      <w:rFonts w:hint="eastAsia" w:eastAsia="宋体"/>
                      <w:sz w:val="21"/>
                      <w:szCs w:val="21"/>
                    </w:rPr>
                    <w:t>3.031</w:t>
                  </w:r>
                </w:p>
              </w:tc>
              <w:tc>
                <w:tcPr>
                  <w:tcW w:w="549" w:type="pct"/>
                  <w:vAlign w:val="center"/>
                </w:tcPr>
                <w:p>
                  <w:pPr>
                    <w:adjustRightInd w:val="0"/>
                    <w:snapToGrid w:val="0"/>
                    <w:spacing w:line="240" w:lineRule="auto"/>
                    <w:jc w:val="center"/>
                    <w:rPr>
                      <w:rFonts w:hint="eastAsia" w:eastAsia="宋体"/>
                      <w:sz w:val="21"/>
                      <w:szCs w:val="21"/>
                      <w:lang w:eastAsia="zh-CN"/>
                    </w:rPr>
                  </w:pPr>
                  <w:r>
                    <w:rPr>
                      <w:rFonts w:eastAsia="宋体"/>
                      <w:sz w:val="21"/>
                      <w:szCs w:val="21"/>
                    </w:rPr>
                    <w:t>0.05</w:t>
                  </w:r>
                  <w:r>
                    <w:rPr>
                      <w:rFonts w:hint="eastAsia" w:eastAsia="宋体"/>
                      <w:sz w:val="21"/>
                      <w:szCs w:val="21"/>
                    </w:rPr>
                    <w:t>8</w:t>
                  </w:r>
                </w:p>
              </w:tc>
              <w:tc>
                <w:tcPr>
                  <w:tcW w:w="735" w:type="pct"/>
                  <w:vMerge w:val="continue"/>
                  <w:vAlign w:val="center"/>
                </w:tcPr>
                <w:p>
                  <w:pPr>
                    <w:adjustRightInd w:val="0"/>
                    <w:snapToGrid w:val="0"/>
                    <w:spacing w:line="240" w:lineRule="auto"/>
                    <w:jc w:val="center"/>
                    <w:rPr>
                      <w:rFonts w:eastAsia="宋体"/>
                      <w:sz w:val="21"/>
                      <w:szCs w:val="21"/>
                    </w:rPr>
                  </w:pPr>
                </w:p>
              </w:tc>
              <w:tc>
                <w:tcPr>
                  <w:tcW w:w="696" w:type="pct"/>
                  <w:vAlign w:val="center"/>
                </w:tcPr>
                <w:p>
                  <w:pPr>
                    <w:adjustRightInd w:val="0"/>
                    <w:snapToGrid w:val="0"/>
                    <w:spacing w:line="240" w:lineRule="auto"/>
                    <w:jc w:val="center"/>
                    <w:rPr>
                      <w:rFonts w:eastAsia="宋体"/>
                      <w:sz w:val="21"/>
                      <w:szCs w:val="21"/>
                    </w:rPr>
                  </w:pPr>
                  <w:r>
                    <w:rPr>
                      <w:rFonts w:hint="eastAsia" w:eastAsia="宋体"/>
                      <w:sz w:val="21"/>
                      <w:szCs w:val="21"/>
                    </w:rPr>
                    <w:t>3.031</w:t>
                  </w:r>
                </w:p>
              </w:tc>
              <w:tc>
                <w:tcPr>
                  <w:tcW w:w="553" w:type="pct"/>
                  <w:vAlign w:val="center"/>
                </w:tcPr>
                <w:p>
                  <w:pPr>
                    <w:adjustRightInd w:val="0"/>
                    <w:snapToGrid w:val="0"/>
                    <w:spacing w:line="240" w:lineRule="auto"/>
                    <w:jc w:val="center"/>
                    <w:rPr>
                      <w:rFonts w:hint="eastAsia" w:eastAsia="宋体"/>
                      <w:sz w:val="21"/>
                      <w:szCs w:val="21"/>
                      <w:lang w:eastAsia="zh-CN"/>
                    </w:rPr>
                  </w:pPr>
                  <w:r>
                    <w:rPr>
                      <w:rFonts w:eastAsia="宋体"/>
                      <w:sz w:val="21"/>
                      <w:szCs w:val="21"/>
                    </w:rPr>
                    <w:t>0.05</w:t>
                  </w:r>
                  <w:r>
                    <w:rPr>
                      <w:rFonts w:hint="eastAsia" w:eastAsia="宋体"/>
                      <w:sz w:val="21"/>
                      <w:szCs w:val="21"/>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98" w:type="pct"/>
                  <w:vMerge w:val="continue"/>
                  <w:vAlign w:val="center"/>
                </w:tcPr>
                <w:p>
                  <w:pPr>
                    <w:adjustRightInd w:val="0"/>
                    <w:snapToGrid w:val="0"/>
                    <w:spacing w:line="240" w:lineRule="auto"/>
                    <w:jc w:val="center"/>
                    <w:rPr>
                      <w:rFonts w:eastAsia="宋体"/>
                      <w:sz w:val="21"/>
                      <w:szCs w:val="21"/>
                    </w:rPr>
                  </w:pPr>
                </w:p>
              </w:tc>
              <w:tc>
                <w:tcPr>
                  <w:tcW w:w="715" w:type="pct"/>
                  <w:vAlign w:val="center"/>
                </w:tcPr>
                <w:p>
                  <w:pPr>
                    <w:adjustRightInd w:val="0"/>
                    <w:snapToGrid w:val="0"/>
                    <w:spacing w:line="240" w:lineRule="auto"/>
                    <w:jc w:val="center"/>
                    <w:rPr>
                      <w:rFonts w:eastAsia="宋体"/>
                      <w:sz w:val="21"/>
                      <w:szCs w:val="21"/>
                    </w:rPr>
                  </w:pPr>
                  <w:r>
                    <w:rPr>
                      <w:rFonts w:hint="eastAsia" w:eastAsia="宋体"/>
                      <w:sz w:val="21"/>
                      <w:szCs w:val="21"/>
                    </w:rPr>
                    <w:t>动植物油</w:t>
                  </w:r>
                </w:p>
              </w:tc>
              <w:tc>
                <w:tcPr>
                  <w:tcW w:w="755" w:type="pct"/>
                  <w:vMerge w:val="continue"/>
                  <w:vAlign w:val="center"/>
                </w:tcPr>
                <w:p>
                  <w:pPr>
                    <w:adjustRightInd w:val="0"/>
                    <w:snapToGrid w:val="0"/>
                    <w:spacing w:line="240" w:lineRule="auto"/>
                    <w:jc w:val="center"/>
                    <w:rPr>
                      <w:rFonts w:eastAsia="宋体"/>
                      <w:sz w:val="21"/>
                      <w:szCs w:val="21"/>
                    </w:rPr>
                  </w:pPr>
                </w:p>
              </w:tc>
              <w:tc>
                <w:tcPr>
                  <w:tcW w:w="696" w:type="pct"/>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lang w:bidi="ar"/>
                    </w:rPr>
                    <w:t>19.596</w:t>
                  </w:r>
                </w:p>
              </w:tc>
              <w:tc>
                <w:tcPr>
                  <w:tcW w:w="549" w:type="pct"/>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lang w:bidi="ar"/>
                    </w:rPr>
                    <w:t>0.367</w:t>
                  </w:r>
                </w:p>
              </w:tc>
              <w:tc>
                <w:tcPr>
                  <w:tcW w:w="735" w:type="pct"/>
                  <w:vMerge w:val="continue"/>
                  <w:vAlign w:val="center"/>
                </w:tcPr>
                <w:p>
                  <w:pPr>
                    <w:adjustRightInd w:val="0"/>
                    <w:snapToGrid w:val="0"/>
                    <w:spacing w:line="240" w:lineRule="auto"/>
                    <w:jc w:val="center"/>
                    <w:rPr>
                      <w:rFonts w:eastAsia="宋体"/>
                      <w:sz w:val="21"/>
                      <w:szCs w:val="21"/>
                    </w:rPr>
                  </w:pPr>
                </w:p>
              </w:tc>
              <w:tc>
                <w:tcPr>
                  <w:tcW w:w="696" w:type="pct"/>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lang w:bidi="ar"/>
                    </w:rPr>
                    <w:t>19.596</w:t>
                  </w:r>
                </w:p>
              </w:tc>
              <w:tc>
                <w:tcPr>
                  <w:tcW w:w="553" w:type="pct"/>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lang w:bidi="ar"/>
                    </w:rPr>
                    <w:t>0.367</w:t>
                  </w:r>
                </w:p>
              </w:tc>
            </w:tr>
          </w:tbl>
          <w:p>
            <w:pPr>
              <w:pStyle w:val="5"/>
              <w:spacing w:before="156" w:beforeLines="50"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表4</w:t>
            </w:r>
            <w:r>
              <w:rPr>
                <w:rFonts w:ascii="Times New Roman" w:hAnsi="Times New Roman" w:eastAsia="宋体" w:cs="Times New Roman"/>
                <w:sz w:val="21"/>
                <w:szCs w:val="21"/>
              </w:rPr>
              <w:t>-</w:t>
            </w:r>
            <w:r>
              <w:rPr>
                <w:rFonts w:hint="eastAsia" w:ascii="Times New Roman" w:hAnsi="Times New Roman" w:eastAsia="宋体" w:cs="Times New Roman"/>
                <w:sz w:val="21"/>
                <w:szCs w:val="21"/>
              </w:rPr>
              <w:t>7</w:t>
            </w:r>
            <w:r>
              <w:rPr>
                <w:rFonts w:ascii="Times New Roman" w:hAnsi="Times New Roman" w:eastAsia="宋体" w:cs="Times New Roman"/>
                <w:sz w:val="21"/>
                <w:szCs w:val="21"/>
              </w:rPr>
              <w:t>纳入</w:t>
            </w:r>
            <w:r>
              <w:rPr>
                <w:rFonts w:hint="eastAsia" w:ascii="Times New Roman" w:hAnsi="Times New Roman" w:eastAsia="宋体" w:cs="Times New Roman"/>
                <w:sz w:val="21"/>
                <w:szCs w:val="21"/>
              </w:rPr>
              <w:t>污水处理厂及排外环境的</w:t>
            </w:r>
            <w:r>
              <w:rPr>
                <w:rFonts w:ascii="Times New Roman" w:hAnsi="Times New Roman" w:eastAsia="宋体" w:cs="Times New Roman"/>
                <w:sz w:val="21"/>
                <w:szCs w:val="21"/>
              </w:rPr>
              <w:t>废水污染源源强核算表</w:t>
            </w:r>
          </w:p>
          <w:tbl>
            <w:tblPr>
              <w:tblStyle w:val="31"/>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97"/>
              <w:gridCol w:w="660"/>
              <w:gridCol w:w="1176"/>
              <w:gridCol w:w="1048"/>
              <w:gridCol w:w="872"/>
              <w:gridCol w:w="1185"/>
              <w:gridCol w:w="1039"/>
              <w:gridCol w:w="87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520" w:type="pct"/>
                  <w:vMerge w:val="restart"/>
                  <w:vAlign w:val="center"/>
                </w:tcPr>
                <w:p>
                  <w:pPr>
                    <w:adjustRightInd w:val="0"/>
                    <w:snapToGrid w:val="0"/>
                    <w:spacing w:line="240" w:lineRule="auto"/>
                    <w:jc w:val="center"/>
                    <w:rPr>
                      <w:rFonts w:eastAsia="宋体"/>
                      <w:b/>
                      <w:bCs/>
                      <w:sz w:val="21"/>
                      <w:szCs w:val="21"/>
                    </w:rPr>
                  </w:pPr>
                  <w:r>
                    <w:rPr>
                      <w:rFonts w:eastAsia="宋体"/>
                      <w:b/>
                      <w:bCs/>
                      <w:sz w:val="21"/>
                      <w:szCs w:val="21"/>
                    </w:rPr>
                    <w:t>工序</w:t>
                  </w:r>
                </w:p>
              </w:tc>
              <w:tc>
                <w:tcPr>
                  <w:tcW w:w="431" w:type="pct"/>
                  <w:vMerge w:val="restart"/>
                  <w:vAlign w:val="center"/>
                </w:tcPr>
                <w:p>
                  <w:pPr>
                    <w:adjustRightInd w:val="0"/>
                    <w:snapToGrid w:val="0"/>
                    <w:spacing w:line="240" w:lineRule="auto"/>
                    <w:jc w:val="center"/>
                    <w:rPr>
                      <w:rFonts w:eastAsia="宋体"/>
                      <w:b/>
                      <w:bCs/>
                      <w:sz w:val="21"/>
                      <w:szCs w:val="21"/>
                    </w:rPr>
                  </w:pPr>
                  <w:r>
                    <w:rPr>
                      <w:rFonts w:eastAsia="宋体"/>
                      <w:b/>
                      <w:bCs/>
                      <w:sz w:val="21"/>
                      <w:szCs w:val="21"/>
                    </w:rPr>
                    <w:t>污染物</w:t>
                  </w:r>
                </w:p>
              </w:tc>
              <w:tc>
                <w:tcPr>
                  <w:tcW w:w="2023" w:type="pct"/>
                  <w:gridSpan w:val="3"/>
                  <w:vAlign w:val="center"/>
                </w:tcPr>
                <w:p>
                  <w:pPr>
                    <w:adjustRightInd w:val="0"/>
                    <w:snapToGrid w:val="0"/>
                    <w:spacing w:line="320" w:lineRule="exact"/>
                    <w:jc w:val="center"/>
                    <w:rPr>
                      <w:rFonts w:eastAsia="宋体"/>
                      <w:b/>
                      <w:bCs/>
                      <w:sz w:val="21"/>
                      <w:szCs w:val="21"/>
                    </w:rPr>
                  </w:pPr>
                  <w:r>
                    <w:rPr>
                      <w:rFonts w:eastAsia="宋体"/>
                      <w:b/>
                      <w:bCs/>
                      <w:sz w:val="21"/>
                      <w:szCs w:val="21"/>
                    </w:rPr>
                    <w:t>污染物排放</w:t>
                  </w:r>
                  <w:r>
                    <w:rPr>
                      <w:rFonts w:hint="eastAsia" w:eastAsia="宋体"/>
                      <w:b/>
                      <w:bCs/>
                      <w:sz w:val="21"/>
                      <w:szCs w:val="21"/>
                    </w:rPr>
                    <w:t>（纳管量）</w:t>
                  </w:r>
                </w:p>
              </w:tc>
              <w:tc>
                <w:tcPr>
                  <w:tcW w:w="2024" w:type="pct"/>
                  <w:gridSpan w:val="3"/>
                  <w:vAlign w:val="center"/>
                </w:tcPr>
                <w:p>
                  <w:pPr>
                    <w:adjustRightInd w:val="0"/>
                    <w:snapToGrid w:val="0"/>
                    <w:spacing w:line="320" w:lineRule="exact"/>
                    <w:jc w:val="center"/>
                    <w:rPr>
                      <w:rFonts w:eastAsia="宋体"/>
                      <w:b/>
                      <w:bCs/>
                      <w:sz w:val="21"/>
                      <w:szCs w:val="21"/>
                    </w:rPr>
                  </w:pPr>
                  <w:r>
                    <w:rPr>
                      <w:rFonts w:eastAsia="宋体"/>
                      <w:b/>
                      <w:bCs/>
                      <w:sz w:val="21"/>
                      <w:szCs w:val="21"/>
                    </w:rPr>
                    <w:t>污染物排放</w:t>
                  </w:r>
                  <w:r>
                    <w:rPr>
                      <w:rFonts w:hint="eastAsia" w:eastAsia="宋体"/>
                      <w:b/>
                      <w:bCs/>
                      <w:sz w:val="21"/>
                      <w:szCs w:val="21"/>
                    </w:rPr>
                    <w:t>（排环境量）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520" w:type="pct"/>
                  <w:vMerge w:val="continue"/>
                  <w:vAlign w:val="center"/>
                </w:tcPr>
                <w:p>
                  <w:pPr>
                    <w:adjustRightInd w:val="0"/>
                    <w:snapToGrid w:val="0"/>
                    <w:spacing w:line="240" w:lineRule="auto"/>
                    <w:jc w:val="center"/>
                    <w:rPr>
                      <w:rFonts w:eastAsia="宋体"/>
                      <w:b/>
                      <w:bCs/>
                      <w:sz w:val="21"/>
                      <w:szCs w:val="21"/>
                    </w:rPr>
                  </w:pPr>
                </w:p>
              </w:tc>
              <w:tc>
                <w:tcPr>
                  <w:tcW w:w="431" w:type="pct"/>
                  <w:vMerge w:val="continue"/>
                  <w:vAlign w:val="center"/>
                </w:tcPr>
                <w:p>
                  <w:pPr>
                    <w:adjustRightInd w:val="0"/>
                    <w:snapToGrid w:val="0"/>
                    <w:spacing w:line="240" w:lineRule="auto"/>
                    <w:jc w:val="center"/>
                    <w:rPr>
                      <w:rFonts w:eastAsia="宋体"/>
                      <w:b/>
                      <w:bCs/>
                      <w:sz w:val="21"/>
                      <w:szCs w:val="21"/>
                    </w:rPr>
                  </w:pPr>
                </w:p>
              </w:tc>
              <w:tc>
                <w:tcPr>
                  <w:tcW w:w="768" w:type="pct"/>
                  <w:vMerge w:val="restart"/>
                  <w:vAlign w:val="center"/>
                </w:tcPr>
                <w:p>
                  <w:pPr>
                    <w:adjustRightInd w:val="0"/>
                    <w:snapToGrid w:val="0"/>
                    <w:spacing w:line="240" w:lineRule="auto"/>
                    <w:jc w:val="center"/>
                    <w:rPr>
                      <w:rFonts w:eastAsia="宋体"/>
                      <w:b/>
                      <w:bCs/>
                      <w:sz w:val="21"/>
                      <w:szCs w:val="21"/>
                    </w:rPr>
                  </w:pPr>
                  <w:r>
                    <w:rPr>
                      <w:rFonts w:eastAsia="宋体"/>
                      <w:b/>
                      <w:bCs/>
                      <w:sz w:val="21"/>
                      <w:szCs w:val="21"/>
                    </w:rPr>
                    <w:t>废水量（m</w:t>
                  </w:r>
                  <w:r>
                    <w:rPr>
                      <w:rFonts w:eastAsia="宋体"/>
                      <w:b/>
                      <w:bCs/>
                      <w:sz w:val="21"/>
                      <w:szCs w:val="21"/>
                      <w:vertAlign w:val="superscript"/>
                    </w:rPr>
                    <w:t>3</w:t>
                  </w:r>
                  <w:r>
                    <w:rPr>
                      <w:rFonts w:eastAsia="宋体"/>
                      <w:b/>
                      <w:bCs/>
                      <w:sz w:val="21"/>
                      <w:szCs w:val="21"/>
                    </w:rPr>
                    <w:t>/a）</w:t>
                  </w:r>
                </w:p>
              </w:tc>
              <w:tc>
                <w:tcPr>
                  <w:tcW w:w="684" w:type="pct"/>
                  <w:vMerge w:val="restart"/>
                  <w:vAlign w:val="center"/>
                </w:tcPr>
                <w:p>
                  <w:pPr>
                    <w:adjustRightInd w:val="0"/>
                    <w:snapToGrid w:val="0"/>
                    <w:spacing w:line="240" w:lineRule="auto"/>
                    <w:jc w:val="center"/>
                    <w:rPr>
                      <w:rFonts w:eastAsia="宋体"/>
                      <w:b/>
                      <w:bCs/>
                      <w:sz w:val="21"/>
                      <w:szCs w:val="21"/>
                    </w:rPr>
                  </w:pPr>
                  <w:r>
                    <w:rPr>
                      <w:rFonts w:eastAsia="宋体"/>
                      <w:b/>
                      <w:bCs/>
                      <w:sz w:val="21"/>
                      <w:szCs w:val="21"/>
                    </w:rPr>
                    <w:t>浓度（mg/L）</w:t>
                  </w:r>
                </w:p>
              </w:tc>
              <w:tc>
                <w:tcPr>
                  <w:tcW w:w="569" w:type="pct"/>
                  <w:vMerge w:val="restart"/>
                  <w:vAlign w:val="center"/>
                </w:tcPr>
                <w:p>
                  <w:pPr>
                    <w:adjustRightInd w:val="0"/>
                    <w:snapToGrid w:val="0"/>
                    <w:spacing w:line="240" w:lineRule="auto"/>
                    <w:jc w:val="center"/>
                    <w:rPr>
                      <w:rFonts w:eastAsia="宋体"/>
                      <w:b/>
                      <w:bCs/>
                      <w:sz w:val="21"/>
                      <w:szCs w:val="21"/>
                    </w:rPr>
                  </w:pPr>
                  <w:r>
                    <w:rPr>
                      <w:rFonts w:eastAsia="宋体"/>
                      <w:b/>
                      <w:bCs/>
                      <w:sz w:val="21"/>
                      <w:szCs w:val="21"/>
                    </w:rPr>
                    <w:t>进入量</w:t>
                  </w:r>
                </w:p>
                <w:p>
                  <w:pPr>
                    <w:adjustRightInd w:val="0"/>
                    <w:snapToGrid w:val="0"/>
                    <w:spacing w:line="240" w:lineRule="auto"/>
                    <w:jc w:val="center"/>
                    <w:rPr>
                      <w:rFonts w:eastAsia="宋体"/>
                      <w:b/>
                      <w:bCs/>
                      <w:sz w:val="21"/>
                      <w:szCs w:val="21"/>
                    </w:rPr>
                  </w:pPr>
                  <w:r>
                    <w:rPr>
                      <w:rFonts w:eastAsia="宋体"/>
                      <w:b/>
                      <w:bCs/>
                      <w:sz w:val="21"/>
                      <w:szCs w:val="21"/>
                    </w:rPr>
                    <w:t>（t/a）</w:t>
                  </w:r>
                </w:p>
              </w:tc>
              <w:tc>
                <w:tcPr>
                  <w:tcW w:w="774" w:type="pct"/>
                  <w:vMerge w:val="restart"/>
                  <w:vAlign w:val="center"/>
                </w:tcPr>
                <w:p>
                  <w:pPr>
                    <w:adjustRightInd w:val="0"/>
                    <w:snapToGrid w:val="0"/>
                    <w:spacing w:line="240" w:lineRule="auto"/>
                    <w:jc w:val="center"/>
                    <w:rPr>
                      <w:rFonts w:eastAsia="宋体"/>
                      <w:b/>
                      <w:bCs/>
                      <w:sz w:val="21"/>
                      <w:szCs w:val="21"/>
                    </w:rPr>
                  </w:pPr>
                  <w:r>
                    <w:rPr>
                      <w:rFonts w:eastAsia="宋体"/>
                      <w:b/>
                      <w:bCs/>
                      <w:sz w:val="21"/>
                      <w:szCs w:val="21"/>
                    </w:rPr>
                    <w:t>废水量（m</w:t>
                  </w:r>
                  <w:r>
                    <w:rPr>
                      <w:rFonts w:eastAsia="宋体"/>
                      <w:b/>
                      <w:bCs/>
                      <w:sz w:val="21"/>
                      <w:szCs w:val="21"/>
                      <w:vertAlign w:val="superscript"/>
                    </w:rPr>
                    <w:t>3</w:t>
                  </w:r>
                  <w:r>
                    <w:rPr>
                      <w:rFonts w:eastAsia="宋体"/>
                      <w:b/>
                      <w:bCs/>
                      <w:sz w:val="21"/>
                      <w:szCs w:val="21"/>
                    </w:rPr>
                    <w:t>/a）</w:t>
                  </w:r>
                </w:p>
              </w:tc>
              <w:tc>
                <w:tcPr>
                  <w:tcW w:w="678" w:type="pct"/>
                  <w:vMerge w:val="restart"/>
                  <w:vAlign w:val="center"/>
                </w:tcPr>
                <w:p>
                  <w:pPr>
                    <w:adjustRightInd w:val="0"/>
                    <w:snapToGrid w:val="0"/>
                    <w:spacing w:line="240" w:lineRule="auto"/>
                    <w:jc w:val="center"/>
                    <w:rPr>
                      <w:rFonts w:eastAsia="宋体"/>
                      <w:b/>
                      <w:bCs/>
                      <w:sz w:val="21"/>
                      <w:szCs w:val="21"/>
                    </w:rPr>
                  </w:pPr>
                  <w:r>
                    <w:rPr>
                      <w:rFonts w:eastAsia="宋体"/>
                      <w:b/>
                      <w:bCs/>
                      <w:sz w:val="21"/>
                      <w:szCs w:val="21"/>
                    </w:rPr>
                    <w:t>浓度</w:t>
                  </w:r>
                </w:p>
                <w:p>
                  <w:pPr>
                    <w:adjustRightInd w:val="0"/>
                    <w:snapToGrid w:val="0"/>
                    <w:spacing w:line="240" w:lineRule="auto"/>
                    <w:jc w:val="center"/>
                    <w:rPr>
                      <w:rFonts w:eastAsia="宋体"/>
                      <w:b/>
                      <w:bCs/>
                      <w:sz w:val="21"/>
                      <w:szCs w:val="21"/>
                    </w:rPr>
                  </w:pPr>
                  <w:r>
                    <w:rPr>
                      <w:rFonts w:eastAsia="宋体"/>
                      <w:b/>
                      <w:bCs/>
                      <w:sz w:val="21"/>
                      <w:szCs w:val="21"/>
                    </w:rPr>
                    <w:t>（mg/L）</w:t>
                  </w:r>
                </w:p>
              </w:tc>
              <w:tc>
                <w:tcPr>
                  <w:tcW w:w="571" w:type="pct"/>
                  <w:vMerge w:val="restart"/>
                  <w:vAlign w:val="center"/>
                </w:tcPr>
                <w:p>
                  <w:pPr>
                    <w:adjustRightInd w:val="0"/>
                    <w:snapToGrid w:val="0"/>
                    <w:spacing w:line="240" w:lineRule="auto"/>
                    <w:jc w:val="center"/>
                    <w:rPr>
                      <w:rFonts w:eastAsia="宋体"/>
                      <w:b/>
                      <w:bCs/>
                      <w:sz w:val="21"/>
                      <w:szCs w:val="21"/>
                    </w:rPr>
                  </w:pPr>
                  <w:r>
                    <w:rPr>
                      <w:rFonts w:eastAsia="宋体"/>
                      <w:b/>
                      <w:bCs/>
                      <w:sz w:val="21"/>
                      <w:szCs w:val="21"/>
                    </w:rPr>
                    <w:t>排放量</w:t>
                  </w:r>
                </w:p>
                <w:p>
                  <w:pPr>
                    <w:adjustRightInd w:val="0"/>
                    <w:snapToGrid w:val="0"/>
                    <w:spacing w:line="240" w:lineRule="auto"/>
                    <w:jc w:val="center"/>
                    <w:rPr>
                      <w:rFonts w:eastAsia="宋体"/>
                      <w:b/>
                      <w:bCs/>
                      <w:sz w:val="21"/>
                      <w:szCs w:val="21"/>
                    </w:rPr>
                  </w:pPr>
                  <w:r>
                    <w:rPr>
                      <w:rFonts w:eastAsia="宋体"/>
                      <w:b/>
                      <w:bCs/>
                      <w:sz w:val="21"/>
                      <w:szCs w:val="21"/>
                    </w:rPr>
                    <w:t>（t/a）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520" w:type="pct"/>
                  <w:vMerge w:val="continue"/>
                  <w:vAlign w:val="center"/>
                </w:tcPr>
                <w:p>
                  <w:pPr>
                    <w:adjustRightInd w:val="0"/>
                    <w:snapToGrid w:val="0"/>
                    <w:spacing w:line="240" w:lineRule="auto"/>
                    <w:jc w:val="center"/>
                    <w:rPr>
                      <w:rFonts w:eastAsia="宋体"/>
                      <w:sz w:val="21"/>
                      <w:szCs w:val="21"/>
                    </w:rPr>
                  </w:pPr>
                </w:p>
              </w:tc>
              <w:tc>
                <w:tcPr>
                  <w:tcW w:w="431" w:type="pct"/>
                  <w:vMerge w:val="continue"/>
                  <w:vAlign w:val="center"/>
                </w:tcPr>
                <w:p>
                  <w:pPr>
                    <w:adjustRightInd w:val="0"/>
                    <w:snapToGrid w:val="0"/>
                    <w:spacing w:line="240" w:lineRule="auto"/>
                    <w:jc w:val="center"/>
                    <w:rPr>
                      <w:rFonts w:eastAsia="宋体"/>
                      <w:sz w:val="21"/>
                      <w:szCs w:val="21"/>
                    </w:rPr>
                  </w:pPr>
                </w:p>
              </w:tc>
              <w:tc>
                <w:tcPr>
                  <w:tcW w:w="768" w:type="pct"/>
                  <w:vMerge w:val="continue"/>
                  <w:vAlign w:val="center"/>
                </w:tcPr>
                <w:p>
                  <w:pPr>
                    <w:adjustRightInd w:val="0"/>
                    <w:snapToGrid w:val="0"/>
                    <w:spacing w:line="240" w:lineRule="auto"/>
                    <w:jc w:val="center"/>
                    <w:rPr>
                      <w:rFonts w:eastAsia="宋体"/>
                      <w:sz w:val="21"/>
                      <w:szCs w:val="21"/>
                    </w:rPr>
                  </w:pPr>
                </w:p>
              </w:tc>
              <w:tc>
                <w:tcPr>
                  <w:tcW w:w="684" w:type="pct"/>
                  <w:vMerge w:val="continue"/>
                  <w:vAlign w:val="center"/>
                </w:tcPr>
                <w:p>
                  <w:pPr>
                    <w:adjustRightInd w:val="0"/>
                    <w:snapToGrid w:val="0"/>
                    <w:spacing w:line="240" w:lineRule="auto"/>
                    <w:jc w:val="center"/>
                    <w:rPr>
                      <w:rFonts w:eastAsia="宋体"/>
                      <w:sz w:val="21"/>
                      <w:szCs w:val="21"/>
                    </w:rPr>
                  </w:pPr>
                </w:p>
              </w:tc>
              <w:tc>
                <w:tcPr>
                  <w:tcW w:w="569" w:type="pct"/>
                  <w:vMerge w:val="continue"/>
                  <w:vAlign w:val="center"/>
                </w:tcPr>
                <w:p>
                  <w:pPr>
                    <w:adjustRightInd w:val="0"/>
                    <w:snapToGrid w:val="0"/>
                    <w:spacing w:line="240" w:lineRule="auto"/>
                    <w:jc w:val="center"/>
                    <w:rPr>
                      <w:rFonts w:eastAsia="宋体"/>
                      <w:sz w:val="21"/>
                      <w:szCs w:val="21"/>
                    </w:rPr>
                  </w:pPr>
                </w:p>
              </w:tc>
              <w:tc>
                <w:tcPr>
                  <w:tcW w:w="774" w:type="pct"/>
                  <w:vMerge w:val="continue"/>
                  <w:vAlign w:val="center"/>
                </w:tcPr>
                <w:p>
                  <w:pPr>
                    <w:adjustRightInd w:val="0"/>
                    <w:snapToGrid w:val="0"/>
                    <w:spacing w:line="240" w:lineRule="auto"/>
                    <w:jc w:val="center"/>
                    <w:rPr>
                      <w:rFonts w:eastAsia="宋体"/>
                      <w:sz w:val="21"/>
                      <w:szCs w:val="21"/>
                    </w:rPr>
                  </w:pPr>
                </w:p>
              </w:tc>
              <w:tc>
                <w:tcPr>
                  <w:tcW w:w="678" w:type="pct"/>
                  <w:vMerge w:val="continue"/>
                  <w:vAlign w:val="center"/>
                </w:tcPr>
                <w:p>
                  <w:pPr>
                    <w:adjustRightInd w:val="0"/>
                    <w:snapToGrid w:val="0"/>
                    <w:spacing w:line="240" w:lineRule="auto"/>
                    <w:jc w:val="center"/>
                    <w:rPr>
                      <w:rFonts w:eastAsia="宋体"/>
                      <w:sz w:val="21"/>
                      <w:szCs w:val="21"/>
                    </w:rPr>
                  </w:pPr>
                </w:p>
              </w:tc>
              <w:tc>
                <w:tcPr>
                  <w:tcW w:w="571" w:type="pct"/>
                  <w:vMerge w:val="continue"/>
                  <w:vAlign w:val="center"/>
                </w:tcPr>
                <w:p>
                  <w:pPr>
                    <w:adjustRightInd w:val="0"/>
                    <w:snapToGrid w:val="0"/>
                    <w:spacing w:line="240" w:lineRule="auto"/>
                    <w:jc w:val="center"/>
                    <w:rPr>
                      <w:rFonts w:eastAsia="宋体"/>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blHeader/>
                <w:jc w:val="center"/>
              </w:trPr>
              <w:tc>
                <w:tcPr>
                  <w:tcW w:w="520" w:type="pct"/>
                  <w:vMerge w:val="restart"/>
                  <w:vAlign w:val="center"/>
                </w:tcPr>
                <w:p>
                  <w:pPr>
                    <w:adjustRightInd w:val="0"/>
                    <w:snapToGrid w:val="0"/>
                    <w:spacing w:line="240" w:lineRule="auto"/>
                    <w:jc w:val="center"/>
                    <w:rPr>
                      <w:rFonts w:eastAsia="宋体"/>
                      <w:sz w:val="21"/>
                      <w:szCs w:val="21"/>
                    </w:rPr>
                  </w:pPr>
                  <w:r>
                    <w:rPr>
                      <w:rFonts w:eastAsia="宋体"/>
                      <w:sz w:val="21"/>
                      <w:szCs w:val="21"/>
                    </w:rPr>
                    <w:t>纳入</w:t>
                  </w:r>
                  <w:r>
                    <w:rPr>
                      <w:rFonts w:hint="eastAsia" w:eastAsia="宋体"/>
                      <w:sz w:val="21"/>
                      <w:szCs w:val="21"/>
                    </w:rPr>
                    <w:t>临平净水厂</w:t>
                  </w:r>
                </w:p>
              </w:tc>
              <w:tc>
                <w:tcPr>
                  <w:tcW w:w="431" w:type="pct"/>
                  <w:vAlign w:val="center"/>
                </w:tcPr>
                <w:p>
                  <w:pPr>
                    <w:adjustRightInd w:val="0"/>
                    <w:snapToGrid w:val="0"/>
                    <w:spacing w:line="240" w:lineRule="auto"/>
                    <w:jc w:val="center"/>
                    <w:rPr>
                      <w:rFonts w:eastAsia="宋体"/>
                      <w:sz w:val="21"/>
                      <w:szCs w:val="21"/>
                    </w:rPr>
                  </w:pPr>
                  <w:r>
                    <w:rPr>
                      <w:rFonts w:eastAsia="宋体"/>
                      <w:sz w:val="21"/>
                      <w:szCs w:val="21"/>
                    </w:rPr>
                    <w:t>COD</w:t>
                  </w:r>
                </w:p>
              </w:tc>
              <w:tc>
                <w:tcPr>
                  <w:tcW w:w="768" w:type="pct"/>
                  <w:vMerge w:val="restart"/>
                  <w:vAlign w:val="center"/>
                </w:tcPr>
                <w:p>
                  <w:pPr>
                    <w:widowControl/>
                    <w:adjustRightInd w:val="0"/>
                    <w:snapToGrid w:val="0"/>
                    <w:spacing w:line="240" w:lineRule="auto"/>
                    <w:jc w:val="center"/>
                    <w:rPr>
                      <w:rFonts w:eastAsia="宋体"/>
                      <w:sz w:val="21"/>
                      <w:szCs w:val="21"/>
                    </w:rPr>
                  </w:pPr>
                  <w:r>
                    <w:rPr>
                      <w:rFonts w:hint="eastAsia" w:eastAsia="宋体"/>
                      <w:sz w:val="21"/>
                      <w:szCs w:val="21"/>
                      <w:lang w:bidi="ar"/>
                    </w:rPr>
                    <w:t>18706.378</w:t>
                  </w:r>
                </w:p>
              </w:tc>
              <w:tc>
                <w:tcPr>
                  <w:tcW w:w="684" w:type="pct"/>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lang w:bidi="ar"/>
                    </w:rPr>
                    <w:t>346.969</w:t>
                  </w:r>
                </w:p>
              </w:tc>
              <w:tc>
                <w:tcPr>
                  <w:tcW w:w="569" w:type="pct"/>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lang w:bidi="ar"/>
                    </w:rPr>
                    <w:t>6.491</w:t>
                  </w:r>
                </w:p>
              </w:tc>
              <w:tc>
                <w:tcPr>
                  <w:tcW w:w="774" w:type="pct"/>
                  <w:vMerge w:val="restart"/>
                  <w:vAlign w:val="center"/>
                </w:tcPr>
                <w:p>
                  <w:pPr>
                    <w:adjustRightInd w:val="0"/>
                    <w:snapToGrid w:val="0"/>
                    <w:spacing w:line="240" w:lineRule="auto"/>
                    <w:jc w:val="center"/>
                    <w:rPr>
                      <w:rFonts w:eastAsia="宋体"/>
                      <w:sz w:val="21"/>
                      <w:szCs w:val="21"/>
                    </w:rPr>
                  </w:pPr>
                  <w:r>
                    <w:rPr>
                      <w:rFonts w:hint="eastAsia" w:eastAsia="宋体"/>
                      <w:sz w:val="21"/>
                      <w:szCs w:val="21"/>
                      <w:lang w:bidi="ar"/>
                    </w:rPr>
                    <w:t>18706.378</w:t>
                  </w:r>
                </w:p>
              </w:tc>
              <w:tc>
                <w:tcPr>
                  <w:tcW w:w="678" w:type="pct"/>
                  <w:vAlign w:val="center"/>
                </w:tcPr>
                <w:p>
                  <w:pPr>
                    <w:adjustRightInd w:val="0"/>
                    <w:snapToGrid w:val="0"/>
                    <w:spacing w:line="240" w:lineRule="auto"/>
                    <w:jc w:val="center"/>
                    <w:rPr>
                      <w:rFonts w:eastAsia="宋体"/>
                      <w:sz w:val="21"/>
                      <w:szCs w:val="21"/>
                    </w:rPr>
                  </w:pPr>
                  <w:r>
                    <w:rPr>
                      <w:rFonts w:hint="eastAsia" w:eastAsia="宋体"/>
                      <w:sz w:val="21"/>
                      <w:szCs w:val="21"/>
                    </w:rPr>
                    <w:t>40</w:t>
                  </w:r>
                </w:p>
              </w:tc>
              <w:tc>
                <w:tcPr>
                  <w:tcW w:w="571" w:type="pct"/>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lang w:bidi="ar"/>
                    </w:rPr>
                    <w:t>0.748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520" w:type="pct"/>
                  <w:vMerge w:val="continue"/>
                  <w:vAlign w:val="center"/>
                </w:tcPr>
                <w:p>
                  <w:pPr>
                    <w:adjustRightInd w:val="0"/>
                    <w:snapToGrid w:val="0"/>
                    <w:spacing w:line="240" w:lineRule="auto"/>
                    <w:jc w:val="center"/>
                    <w:rPr>
                      <w:rFonts w:eastAsia="宋体"/>
                      <w:sz w:val="21"/>
                      <w:szCs w:val="21"/>
                    </w:rPr>
                  </w:pPr>
                </w:p>
              </w:tc>
              <w:tc>
                <w:tcPr>
                  <w:tcW w:w="431" w:type="pct"/>
                  <w:vAlign w:val="center"/>
                </w:tcPr>
                <w:p>
                  <w:pPr>
                    <w:adjustRightInd w:val="0"/>
                    <w:snapToGrid w:val="0"/>
                    <w:spacing w:line="240" w:lineRule="auto"/>
                    <w:jc w:val="center"/>
                    <w:rPr>
                      <w:rFonts w:eastAsia="宋体"/>
                      <w:sz w:val="21"/>
                      <w:szCs w:val="21"/>
                    </w:rPr>
                  </w:pPr>
                  <w:r>
                    <w:rPr>
                      <w:rFonts w:eastAsia="宋体"/>
                      <w:sz w:val="21"/>
                      <w:szCs w:val="21"/>
                    </w:rPr>
                    <w:t>氨氮</w:t>
                  </w:r>
                </w:p>
              </w:tc>
              <w:tc>
                <w:tcPr>
                  <w:tcW w:w="768" w:type="pct"/>
                  <w:vMerge w:val="continue"/>
                  <w:vAlign w:val="center"/>
                </w:tcPr>
                <w:p>
                  <w:pPr>
                    <w:adjustRightInd w:val="0"/>
                    <w:snapToGrid w:val="0"/>
                    <w:spacing w:line="240" w:lineRule="auto"/>
                    <w:jc w:val="center"/>
                    <w:rPr>
                      <w:rFonts w:eastAsia="宋体"/>
                      <w:sz w:val="21"/>
                      <w:szCs w:val="21"/>
                    </w:rPr>
                  </w:pPr>
                </w:p>
              </w:tc>
              <w:tc>
                <w:tcPr>
                  <w:tcW w:w="684" w:type="pct"/>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lang w:bidi="ar"/>
                    </w:rPr>
                    <w:t>34.697</w:t>
                  </w:r>
                </w:p>
              </w:tc>
              <w:tc>
                <w:tcPr>
                  <w:tcW w:w="569" w:type="pct"/>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lang w:bidi="ar"/>
                    </w:rPr>
                    <w:t>0.649</w:t>
                  </w:r>
                </w:p>
              </w:tc>
              <w:tc>
                <w:tcPr>
                  <w:tcW w:w="774" w:type="pct"/>
                  <w:vMerge w:val="continue"/>
                  <w:vAlign w:val="center"/>
                </w:tcPr>
                <w:p>
                  <w:pPr>
                    <w:adjustRightInd w:val="0"/>
                    <w:snapToGrid w:val="0"/>
                    <w:spacing w:line="240" w:lineRule="auto"/>
                    <w:jc w:val="center"/>
                    <w:rPr>
                      <w:rFonts w:eastAsia="宋体"/>
                      <w:sz w:val="21"/>
                      <w:szCs w:val="21"/>
                    </w:rPr>
                  </w:pPr>
                </w:p>
              </w:tc>
              <w:tc>
                <w:tcPr>
                  <w:tcW w:w="678" w:type="pct"/>
                  <w:vAlign w:val="center"/>
                </w:tcPr>
                <w:p>
                  <w:pPr>
                    <w:adjustRightInd w:val="0"/>
                    <w:snapToGrid w:val="0"/>
                    <w:spacing w:line="240" w:lineRule="auto"/>
                    <w:jc w:val="center"/>
                    <w:rPr>
                      <w:rFonts w:eastAsia="宋体"/>
                      <w:sz w:val="21"/>
                      <w:szCs w:val="21"/>
                    </w:rPr>
                  </w:pPr>
                  <w:r>
                    <w:rPr>
                      <w:rFonts w:hint="eastAsia" w:eastAsia="宋体"/>
                      <w:sz w:val="21"/>
                      <w:szCs w:val="21"/>
                    </w:rPr>
                    <w:t>2</w:t>
                  </w:r>
                </w:p>
              </w:tc>
              <w:tc>
                <w:tcPr>
                  <w:tcW w:w="571" w:type="pct"/>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lang w:bidi="ar"/>
                    </w:rPr>
                    <w:t>0.037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520" w:type="pct"/>
                  <w:vMerge w:val="continue"/>
                  <w:vAlign w:val="center"/>
                </w:tcPr>
                <w:p>
                  <w:pPr>
                    <w:adjustRightInd w:val="0"/>
                    <w:snapToGrid w:val="0"/>
                    <w:spacing w:line="240" w:lineRule="auto"/>
                    <w:jc w:val="center"/>
                    <w:rPr>
                      <w:rFonts w:eastAsia="宋体"/>
                      <w:sz w:val="21"/>
                      <w:szCs w:val="21"/>
                    </w:rPr>
                  </w:pPr>
                </w:p>
              </w:tc>
              <w:tc>
                <w:tcPr>
                  <w:tcW w:w="431" w:type="pct"/>
                  <w:vAlign w:val="center"/>
                </w:tcPr>
                <w:p>
                  <w:pPr>
                    <w:adjustRightInd w:val="0"/>
                    <w:snapToGrid w:val="0"/>
                    <w:spacing w:line="240" w:lineRule="auto"/>
                    <w:jc w:val="center"/>
                    <w:rPr>
                      <w:rFonts w:eastAsia="宋体"/>
                      <w:sz w:val="21"/>
                      <w:szCs w:val="21"/>
                    </w:rPr>
                  </w:pPr>
                  <w:r>
                    <w:rPr>
                      <w:rFonts w:hint="eastAsia" w:eastAsia="宋体"/>
                      <w:sz w:val="21"/>
                      <w:szCs w:val="21"/>
                    </w:rPr>
                    <w:t>S</w:t>
                  </w:r>
                  <w:r>
                    <w:rPr>
                      <w:rFonts w:eastAsia="宋体"/>
                      <w:sz w:val="21"/>
                      <w:szCs w:val="21"/>
                    </w:rPr>
                    <w:t>S</w:t>
                  </w:r>
                </w:p>
              </w:tc>
              <w:tc>
                <w:tcPr>
                  <w:tcW w:w="768" w:type="pct"/>
                  <w:vMerge w:val="continue"/>
                  <w:vAlign w:val="center"/>
                </w:tcPr>
                <w:p>
                  <w:pPr>
                    <w:adjustRightInd w:val="0"/>
                    <w:snapToGrid w:val="0"/>
                    <w:spacing w:line="240" w:lineRule="auto"/>
                    <w:jc w:val="center"/>
                    <w:rPr>
                      <w:rFonts w:eastAsia="宋体"/>
                      <w:sz w:val="21"/>
                      <w:szCs w:val="21"/>
                    </w:rPr>
                  </w:pPr>
                </w:p>
              </w:tc>
              <w:tc>
                <w:tcPr>
                  <w:tcW w:w="684" w:type="pct"/>
                  <w:vAlign w:val="center"/>
                </w:tcPr>
                <w:p>
                  <w:pPr>
                    <w:adjustRightInd w:val="0"/>
                    <w:snapToGrid w:val="0"/>
                    <w:spacing w:line="240" w:lineRule="auto"/>
                    <w:jc w:val="center"/>
                    <w:rPr>
                      <w:rFonts w:eastAsia="宋体"/>
                      <w:sz w:val="21"/>
                      <w:szCs w:val="21"/>
                    </w:rPr>
                  </w:pPr>
                  <w:r>
                    <w:rPr>
                      <w:rFonts w:hint="eastAsia" w:eastAsia="宋体"/>
                      <w:sz w:val="21"/>
                      <w:szCs w:val="21"/>
                    </w:rPr>
                    <w:t>3.031</w:t>
                  </w:r>
                </w:p>
              </w:tc>
              <w:tc>
                <w:tcPr>
                  <w:tcW w:w="569" w:type="pct"/>
                  <w:vAlign w:val="center"/>
                </w:tcPr>
                <w:p>
                  <w:pPr>
                    <w:adjustRightInd w:val="0"/>
                    <w:snapToGrid w:val="0"/>
                    <w:spacing w:line="240" w:lineRule="auto"/>
                    <w:jc w:val="center"/>
                    <w:rPr>
                      <w:rFonts w:hint="eastAsia" w:eastAsia="宋体"/>
                      <w:sz w:val="21"/>
                      <w:szCs w:val="21"/>
                      <w:lang w:eastAsia="zh-CN"/>
                    </w:rPr>
                  </w:pPr>
                  <w:r>
                    <w:rPr>
                      <w:rFonts w:eastAsia="宋体"/>
                      <w:sz w:val="21"/>
                      <w:szCs w:val="21"/>
                    </w:rPr>
                    <w:t>0.05</w:t>
                  </w:r>
                  <w:r>
                    <w:rPr>
                      <w:rFonts w:hint="eastAsia" w:eastAsia="宋体"/>
                      <w:sz w:val="21"/>
                      <w:szCs w:val="21"/>
                    </w:rPr>
                    <w:t>8</w:t>
                  </w:r>
                </w:p>
              </w:tc>
              <w:tc>
                <w:tcPr>
                  <w:tcW w:w="774" w:type="pct"/>
                  <w:vMerge w:val="continue"/>
                  <w:vAlign w:val="center"/>
                </w:tcPr>
                <w:p>
                  <w:pPr>
                    <w:adjustRightInd w:val="0"/>
                    <w:snapToGrid w:val="0"/>
                    <w:spacing w:line="240" w:lineRule="auto"/>
                    <w:jc w:val="center"/>
                    <w:rPr>
                      <w:rFonts w:eastAsia="宋体"/>
                      <w:sz w:val="21"/>
                      <w:szCs w:val="21"/>
                    </w:rPr>
                  </w:pPr>
                </w:p>
              </w:tc>
              <w:tc>
                <w:tcPr>
                  <w:tcW w:w="678" w:type="pct"/>
                  <w:vAlign w:val="center"/>
                </w:tcPr>
                <w:p>
                  <w:pPr>
                    <w:adjustRightInd w:val="0"/>
                    <w:snapToGrid w:val="0"/>
                    <w:spacing w:line="240" w:lineRule="auto"/>
                    <w:jc w:val="center"/>
                    <w:rPr>
                      <w:rFonts w:eastAsia="宋体"/>
                      <w:sz w:val="21"/>
                      <w:szCs w:val="21"/>
                    </w:rPr>
                  </w:pPr>
                  <w:r>
                    <w:rPr>
                      <w:rFonts w:hint="eastAsia" w:eastAsia="宋体"/>
                      <w:sz w:val="21"/>
                      <w:szCs w:val="21"/>
                    </w:rPr>
                    <w:t>10</w:t>
                  </w:r>
                </w:p>
              </w:tc>
              <w:tc>
                <w:tcPr>
                  <w:tcW w:w="571" w:type="pct"/>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lang w:bidi="ar"/>
                    </w:rPr>
                    <w:t>0.187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520" w:type="pct"/>
                  <w:vMerge w:val="continue"/>
                  <w:vAlign w:val="center"/>
                </w:tcPr>
                <w:p>
                  <w:pPr>
                    <w:adjustRightInd w:val="0"/>
                    <w:snapToGrid w:val="0"/>
                    <w:spacing w:line="240" w:lineRule="auto"/>
                    <w:jc w:val="center"/>
                    <w:rPr>
                      <w:rFonts w:eastAsia="宋体"/>
                      <w:sz w:val="21"/>
                      <w:szCs w:val="21"/>
                    </w:rPr>
                  </w:pPr>
                </w:p>
              </w:tc>
              <w:tc>
                <w:tcPr>
                  <w:tcW w:w="431" w:type="pct"/>
                  <w:vAlign w:val="center"/>
                </w:tcPr>
                <w:p>
                  <w:pPr>
                    <w:adjustRightInd w:val="0"/>
                    <w:snapToGrid w:val="0"/>
                    <w:spacing w:line="240" w:lineRule="auto"/>
                    <w:jc w:val="center"/>
                    <w:rPr>
                      <w:rFonts w:eastAsia="宋体"/>
                      <w:sz w:val="21"/>
                      <w:szCs w:val="21"/>
                    </w:rPr>
                  </w:pPr>
                  <w:r>
                    <w:rPr>
                      <w:rFonts w:hint="eastAsia" w:eastAsia="宋体"/>
                      <w:sz w:val="21"/>
                      <w:szCs w:val="21"/>
                    </w:rPr>
                    <w:t>动植物油</w:t>
                  </w:r>
                </w:p>
              </w:tc>
              <w:tc>
                <w:tcPr>
                  <w:tcW w:w="768" w:type="pct"/>
                  <w:vMerge w:val="continue"/>
                  <w:vAlign w:val="center"/>
                </w:tcPr>
                <w:p>
                  <w:pPr>
                    <w:adjustRightInd w:val="0"/>
                    <w:snapToGrid w:val="0"/>
                    <w:spacing w:line="240" w:lineRule="auto"/>
                    <w:jc w:val="center"/>
                    <w:rPr>
                      <w:rFonts w:eastAsia="宋体"/>
                      <w:sz w:val="21"/>
                      <w:szCs w:val="21"/>
                    </w:rPr>
                  </w:pPr>
                </w:p>
              </w:tc>
              <w:tc>
                <w:tcPr>
                  <w:tcW w:w="684" w:type="pct"/>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lang w:bidi="ar"/>
                    </w:rPr>
                    <w:t>19.596</w:t>
                  </w:r>
                </w:p>
              </w:tc>
              <w:tc>
                <w:tcPr>
                  <w:tcW w:w="569" w:type="pct"/>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lang w:bidi="ar"/>
                    </w:rPr>
                    <w:t>0.367</w:t>
                  </w:r>
                </w:p>
              </w:tc>
              <w:tc>
                <w:tcPr>
                  <w:tcW w:w="774" w:type="pct"/>
                  <w:vMerge w:val="continue"/>
                  <w:vAlign w:val="center"/>
                </w:tcPr>
                <w:p>
                  <w:pPr>
                    <w:adjustRightInd w:val="0"/>
                    <w:snapToGrid w:val="0"/>
                    <w:spacing w:line="240" w:lineRule="auto"/>
                    <w:jc w:val="center"/>
                    <w:rPr>
                      <w:rFonts w:eastAsia="宋体"/>
                      <w:sz w:val="21"/>
                      <w:szCs w:val="21"/>
                    </w:rPr>
                  </w:pPr>
                </w:p>
              </w:tc>
              <w:tc>
                <w:tcPr>
                  <w:tcW w:w="678" w:type="pct"/>
                  <w:vAlign w:val="center"/>
                </w:tcPr>
                <w:p>
                  <w:pPr>
                    <w:adjustRightInd w:val="0"/>
                    <w:snapToGrid w:val="0"/>
                    <w:spacing w:line="240" w:lineRule="auto"/>
                    <w:jc w:val="center"/>
                    <w:rPr>
                      <w:rFonts w:eastAsia="宋体"/>
                      <w:sz w:val="21"/>
                      <w:szCs w:val="21"/>
                    </w:rPr>
                  </w:pPr>
                  <w:r>
                    <w:rPr>
                      <w:rFonts w:hint="eastAsia" w:eastAsia="宋体"/>
                      <w:sz w:val="21"/>
                      <w:szCs w:val="21"/>
                    </w:rPr>
                    <w:t>1</w:t>
                  </w:r>
                </w:p>
              </w:tc>
              <w:tc>
                <w:tcPr>
                  <w:tcW w:w="571" w:type="pct"/>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lang w:bidi="ar"/>
                    </w:rPr>
                    <w:t>0.019</w:t>
                  </w:r>
                </w:p>
              </w:tc>
            </w:tr>
          </w:tbl>
          <w:p>
            <w:pPr>
              <w:pStyle w:val="60"/>
              <w:widowControl w:val="0"/>
              <w:adjustRightInd w:val="0"/>
              <w:snapToGrid w:val="0"/>
              <w:spacing w:line="440" w:lineRule="exact"/>
              <w:ind w:firstLine="480" w:firstLineChars="200"/>
              <w:jc w:val="left"/>
              <w:rPr>
                <w:rFonts w:ascii="Times New Roman" w:eastAsia="宋体"/>
                <w:b w:val="0"/>
                <w:color w:val="auto"/>
                <w:kern w:val="2"/>
                <w:szCs w:val="24"/>
              </w:rPr>
            </w:pPr>
            <w:r>
              <w:rPr>
                <w:rFonts w:hint="eastAsia" w:ascii="Times New Roman" w:eastAsia="宋体"/>
                <w:b w:val="0"/>
                <w:color w:val="auto"/>
                <w:kern w:val="2"/>
                <w:szCs w:val="24"/>
              </w:rPr>
              <w:t>（2）防治措施</w:t>
            </w:r>
          </w:p>
          <w:p>
            <w:pPr>
              <w:spacing w:line="440" w:lineRule="exact"/>
              <w:ind w:firstLine="480" w:firstLineChars="200"/>
              <w:rPr>
                <w:rFonts w:eastAsia="宋体"/>
              </w:rPr>
            </w:pPr>
            <w:r>
              <w:rPr>
                <w:rFonts w:eastAsia="宋体"/>
              </w:rPr>
              <w:t>本项目外排废水为生活污水</w:t>
            </w:r>
            <w:r>
              <w:rPr>
                <w:rFonts w:hint="eastAsia" w:eastAsia="宋体"/>
              </w:rPr>
              <w:t>（包括食堂废水）、实验室废水</w:t>
            </w:r>
            <w:r>
              <w:rPr>
                <w:rFonts w:eastAsia="宋体"/>
              </w:rPr>
              <w:t>，</w:t>
            </w:r>
            <w:r>
              <w:rPr>
                <w:rFonts w:hint="eastAsia" w:eastAsia="宋体"/>
              </w:rPr>
              <w:t>实验室废水经中和调节池预处理，食堂废水经隔油池处理、生活污水经化粪池处理达标后纳管排放至</w:t>
            </w:r>
            <w:r>
              <w:rPr>
                <w:rFonts w:hint="eastAsia" w:eastAsia="宋体"/>
                <w:kern w:val="0"/>
              </w:rPr>
              <w:t>临平净水厂</w:t>
            </w:r>
            <w:r>
              <w:rPr>
                <w:rFonts w:hint="eastAsia" w:eastAsia="宋体"/>
              </w:rPr>
              <w:t>，</w:t>
            </w:r>
            <w:r>
              <w:rPr>
                <w:rFonts w:eastAsia="宋体"/>
              </w:rPr>
              <w:t>废水处理工艺成熟，能够做到稳定达标排放。</w:t>
            </w:r>
          </w:p>
          <w:p>
            <w:pPr>
              <w:pStyle w:val="5"/>
              <w:spacing w:before="156" w:beforeLines="50"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表4</w:t>
            </w:r>
            <w:r>
              <w:rPr>
                <w:rFonts w:ascii="Times New Roman" w:hAnsi="Times New Roman" w:eastAsia="宋体" w:cs="Times New Roman"/>
                <w:sz w:val="21"/>
                <w:szCs w:val="21"/>
              </w:rPr>
              <w:t>-</w:t>
            </w:r>
            <w:r>
              <w:rPr>
                <w:rFonts w:hint="eastAsia" w:ascii="Times New Roman" w:hAnsi="Times New Roman" w:eastAsia="宋体" w:cs="Times New Roman"/>
                <w:sz w:val="21"/>
                <w:szCs w:val="21"/>
              </w:rPr>
              <w:t>7</w:t>
            </w:r>
            <w:r>
              <w:rPr>
                <w:rFonts w:ascii="Times New Roman" w:hAnsi="Times New Roman" w:eastAsia="宋体" w:cs="Times New Roman"/>
                <w:sz w:val="21"/>
                <w:szCs w:val="21"/>
              </w:rPr>
              <w:t>废水防治设施相关参数一览表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8"/>
              <w:gridCol w:w="547"/>
              <w:gridCol w:w="1193"/>
              <w:gridCol w:w="903"/>
              <w:gridCol w:w="1033"/>
              <w:gridCol w:w="903"/>
              <w:gridCol w:w="912"/>
              <w:gridCol w:w="1048"/>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Merge w:val="restart"/>
                  <w:vAlign w:val="center"/>
                </w:tcPr>
                <w:p>
                  <w:pPr>
                    <w:pStyle w:val="40"/>
                    <w:adjustRightInd w:val="0"/>
                    <w:snapToGrid w:val="0"/>
                    <w:spacing w:line="320" w:lineRule="exact"/>
                    <w:ind w:firstLine="0" w:firstLineChars="0"/>
                    <w:jc w:val="center"/>
                    <w:rPr>
                      <w:rFonts w:eastAsia="宋体"/>
                      <w:b/>
                      <w:bCs/>
                      <w:sz w:val="21"/>
                      <w:szCs w:val="21"/>
                    </w:rPr>
                  </w:pPr>
                  <w:r>
                    <w:rPr>
                      <w:rFonts w:eastAsia="宋体"/>
                      <w:b/>
                      <w:bCs/>
                      <w:sz w:val="21"/>
                      <w:szCs w:val="21"/>
                    </w:rPr>
                    <w:t>序号</w:t>
                  </w:r>
                </w:p>
              </w:tc>
              <w:tc>
                <w:tcPr>
                  <w:tcW w:w="358" w:type="pct"/>
                  <w:vMerge w:val="restart"/>
                  <w:vAlign w:val="center"/>
                </w:tcPr>
                <w:p>
                  <w:pPr>
                    <w:pStyle w:val="40"/>
                    <w:adjustRightInd w:val="0"/>
                    <w:snapToGrid w:val="0"/>
                    <w:spacing w:line="320" w:lineRule="exact"/>
                    <w:ind w:firstLine="0" w:firstLineChars="0"/>
                    <w:jc w:val="center"/>
                    <w:rPr>
                      <w:rFonts w:eastAsia="宋体"/>
                      <w:b/>
                      <w:bCs/>
                      <w:sz w:val="21"/>
                      <w:szCs w:val="21"/>
                    </w:rPr>
                  </w:pPr>
                  <w:r>
                    <w:rPr>
                      <w:rFonts w:eastAsia="宋体"/>
                      <w:b/>
                      <w:bCs/>
                      <w:sz w:val="21"/>
                      <w:szCs w:val="21"/>
                    </w:rPr>
                    <w:t>废水类别</w:t>
                  </w:r>
                </w:p>
              </w:tc>
              <w:tc>
                <w:tcPr>
                  <w:tcW w:w="780" w:type="pct"/>
                  <w:vMerge w:val="restart"/>
                  <w:vAlign w:val="center"/>
                </w:tcPr>
                <w:p>
                  <w:pPr>
                    <w:pStyle w:val="40"/>
                    <w:adjustRightInd w:val="0"/>
                    <w:snapToGrid w:val="0"/>
                    <w:spacing w:line="320" w:lineRule="exact"/>
                    <w:ind w:firstLine="0" w:firstLineChars="0"/>
                    <w:jc w:val="center"/>
                    <w:rPr>
                      <w:rFonts w:eastAsia="宋体"/>
                      <w:b/>
                      <w:bCs/>
                      <w:sz w:val="21"/>
                      <w:szCs w:val="21"/>
                    </w:rPr>
                  </w:pPr>
                  <w:r>
                    <w:rPr>
                      <w:rFonts w:eastAsia="宋体"/>
                      <w:b/>
                      <w:bCs/>
                      <w:sz w:val="21"/>
                      <w:szCs w:val="21"/>
                    </w:rPr>
                    <w:t>污染物种类</w:t>
                  </w:r>
                </w:p>
              </w:tc>
              <w:tc>
                <w:tcPr>
                  <w:tcW w:w="2451" w:type="pct"/>
                  <w:gridSpan w:val="4"/>
                  <w:vAlign w:val="center"/>
                </w:tcPr>
                <w:p>
                  <w:pPr>
                    <w:pStyle w:val="40"/>
                    <w:adjustRightInd w:val="0"/>
                    <w:snapToGrid w:val="0"/>
                    <w:spacing w:line="320" w:lineRule="exact"/>
                    <w:ind w:firstLine="0" w:firstLineChars="0"/>
                    <w:jc w:val="center"/>
                    <w:rPr>
                      <w:rFonts w:eastAsia="宋体"/>
                      <w:b/>
                      <w:bCs/>
                      <w:sz w:val="21"/>
                      <w:szCs w:val="21"/>
                    </w:rPr>
                  </w:pPr>
                  <w:r>
                    <w:rPr>
                      <w:rFonts w:eastAsia="宋体"/>
                      <w:b/>
                      <w:bCs/>
                      <w:sz w:val="21"/>
                      <w:szCs w:val="21"/>
                    </w:rPr>
                    <w:t>污染防治设施概况</w:t>
                  </w:r>
                </w:p>
              </w:tc>
              <w:tc>
                <w:tcPr>
                  <w:tcW w:w="685" w:type="pct"/>
                  <w:vMerge w:val="restart"/>
                  <w:vAlign w:val="center"/>
                </w:tcPr>
                <w:p>
                  <w:pPr>
                    <w:pStyle w:val="40"/>
                    <w:adjustRightInd w:val="0"/>
                    <w:snapToGrid w:val="0"/>
                    <w:spacing w:line="320" w:lineRule="exact"/>
                    <w:ind w:firstLine="0" w:firstLineChars="0"/>
                    <w:jc w:val="center"/>
                    <w:rPr>
                      <w:rFonts w:eastAsia="宋体"/>
                      <w:b/>
                      <w:bCs/>
                      <w:sz w:val="21"/>
                      <w:szCs w:val="21"/>
                    </w:rPr>
                  </w:pPr>
                  <w:r>
                    <w:rPr>
                      <w:rFonts w:eastAsia="宋体"/>
                      <w:b/>
                      <w:bCs/>
                      <w:sz w:val="21"/>
                      <w:szCs w:val="21"/>
                    </w:rPr>
                    <w:t>排放口</w:t>
                  </w:r>
                </w:p>
                <w:p>
                  <w:pPr>
                    <w:pStyle w:val="40"/>
                    <w:adjustRightInd w:val="0"/>
                    <w:snapToGrid w:val="0"/>
                    <w:spacing w:line="320" w:lineRule="exact"/>
                    <w:ind w:firstLine="0" w:firstLineChars="0"/>
                    <w:jc w:val="center"/>
                    <w:rPr>
                      <w:rFonts w:eastAsia="宋体"/>
                      <w:b/>
                      <w:bCs/>
                      <w:sz w:val="21"/>
                      <w:szCs w:val="21"/>
                    </w:rPr>
                  </w:pPr>
                  <w:r>
                    <w:rPr>
                      <w:rFonts w:eastAsia="宋体"/>
                      <w:b/>
                      <w:bCs/>
                      <w:sz w:val="21"/>
                      <w:szCs w:val="21"/>
                    </w:rPr>
                    <w:t>类型</w:t>
                  </w:r>
                </w:p>
              </w:tc>
              <w:tc>
                <w:tcPr>
                  <w:tcW w:w="473" w:type="pct"/>
                  <w:vMerge w:val="restart"/>
                  <w:vAlign w:val="center"/>
                </w:tcPr>
                <w:p>
                  <w:pPr>
                    <w:pStyle w:val="40"/>
                    <w:adjustRightInd w:val="0"/>
                    <w:snapToGrid w:val="0"/>
                    <w:spacing w:line="320" w:lineRule="exact"/>
                    <w:ind w:firstLine="0" w:firstLineChars="0"/>
                    <w:jc w:val="center"/>
                    <w:rPr>
                      <w:rFonts w:eastAsia="宋体"/>
                      <w:b/>
                      <w:bCs/>
                      <w:sz w:val="21"/>
                      <w:szCs w:val="21"/>
                    </w:rPr>
                  </w:pPr>
                  <w:r>
                    <w:rPr>
                      <w:rFonts w:eastAsia="宋体"/>
                      <w:b/>
                      <w:bCs/>
                      <w:sz w:val="21"/>
                      <w:szCs w:val="21"/>
                    </w:rPr>
                    <w:t>排放口</w:t>
                  </w:r>
                </w:p>
                <w:p>
                  <w:pPr>
                    <w:pStyle w:val="40"/>
                    <w:adjustRightInd w:val="0"/>
                    <w:snapToGrid w:val="0"/>
                    <w:spacing w:line="320" w:lineRule="exact"/>
                    <w:ind w:firstLine="0" w:firstLineChars="0"/>
                    <w:jc w:val="center"/>
                    <w:rPr>
                      <w:rFonts w:eastAsia="宋体"/>
                      <w:b/>
                      <w:bCs/>
                      <w:sz w:val="21"/>
                      <w:szCs w:val="21"/>
                    </w:rPr>
                  </w:pPr>
                  <w:r>
                    <w:rPr>
                      <w:rFonts w:eastAsia="宋体"/>
                      <w:b/>
                      <w:bCs/>
                      <w:sz w:val="21"/>
                      <w:szCs w:val="21"/>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54" w:type="pct"/>
                  <w:vMerge w:val="continue"/>
                  <w:vAlign w:val="center"/>
                </w:tcPr>
                <w:p>
                  <w:pPr>
                    <w:pStyle w:val="40"/>
                    <w:adjustRightInd w:val="0"/>
                    <w:snapToGrid w:val="0"/>
                    <w:spacing w:line="320" w:lineRule="exact"/>
                    <w:ind w:firstLine="0" w:firstLineChars="0"/>
                    <w:jc w:val="center"/>
                    <w:rPr>
                      <w:rFonts w:eastAsia="宋体"/>
                      <w:sz w:val="21"/>
                      <w:szCs w:val="21"/>
                    </w:rPr>
                  </w:pPr>
                </w:p>
              </w:tc>
              <w:tc>
                <w:tcPr>
                  <w:tcW w:w="358" w:type="pct"/>
                  <w:vMerge w:val="continue"/>
                  <w:vAlign w:val="center"/>
                </w:tcPr>
                <w:p>
                  <w:pPr>
                    <w:pStyle w:val="40"/>
                    <w:adjustRightInd w:val="0"/>
                    <w:snapToGrid w:val="0"/>
                    <w:spacing w:line="320" w:lineRule="exact"/>
                    <w:ind w:firstLine="0" w:firstLineChars="0"/>
                    <w:jc w:val="center"/>
                    <w:rPr>
                      <w:rFonts w:eastAsia="宋体"/>
                      <w:sz w:val="21"/>
                      <w:szCs w:val="21"/>
                    </w:rPr>
                  </w:pPr>
                </w:p>
              </w:tc>
              <w:tc>
                <w:tcPr>
                  <w:tcW w:w="780" w:type="pct"/>
                  <w:vMerge w:val="continue"/>
                  <w:vAlign w:val="center"/>
                </w:tcPr>
                <w:p>
                  <w:pPr>
                    <w:pStyle w:val="40"/>
                    <w:adjustRightInd w:val="0"/>
                    <w:snapToGrid w:val="0"/>
                    <w:spacing w:line="320" w:lineRule="exact"/>
                    <w:ind w:firstLine="0" w:firstLineChars="0"/>
                    <w:jc w:val="center"/>
                    <w:rPr>
                      <w:rFonts w:eastAsia="宋体"/>
                      <w:sz w:val="21"/>
                      <w:szCs w:val="21"/>
                    </w:rPr>
                  </w:pPr>
                </w:p>
              </w:tc>
              <w:tc>
                <w:tcPr>
                  <w:tcW w:w="590" w:type="pct"/>
                  <w:vAlign w:val="center"/>
                </w:tcPr>
                <w:p>
                  <w:pPr>
                    <w:pStyle w:val="40"/>
                    <w:adjustRightInd w:val="0"/>
                    <w:snapToGrid w:val="0"/>
                    <w:spacing w:line="320" w:lineRule="exact"/>
                    <w:ind w:firstLine="0" w:firstLineChars="0"/>
                    <w:jc w:val="center"/>
                    <w:rPr>
                      <w:rFonts w:eastAsia="宋体"/>
                      <w:b/>
                      <w:bCs/>
                      <w:sz w:val="21"/>
                      <w:szCs w:val="21"/>
                    </w:rPr>
                  </w:pPr>
                  <w:r>
                    <w:rPr>
                      <w:rFonts w:eastAsia="宋体"/>
                      <w:b/>
                      <w:bCs/>
                      <w:sz w:val="21"/>
                      <w:szCs w:val="21"/>
                    </w:rPr>
                    <w:t>处理能力（t/d）</w:t>
                  </w:r>
                </w:p>
              </w:tc>
              <w:tc>
                <w:tcPr>
                  <w:tcW w:w="675" w:type="pct"/>
                  <w:vAlign w:val="center"/>
                </w:tcPr>
                <w:p>
                  <w:pPr>
                    <w:pStyle w:val="40"/>
                    <w:adjustRightInd w:val="0"/>
                    <w:snapToGrid w:val="0"/>
                    <w:spacing w:line="320" w:lineRule="exact"/>
                    <w:ind w:firstLine="0" w:firstLineChars="0"/>
                    <w:jc w:val="center"/>
                    <w:rPr>
                      <w:rFonts w:eastAsia="宋体"/>
                      <w:b/>
                      <w:bCs/>
                      <w:sz w:val="21"/>
                      <w:szCs w:val="21"/>
                    </w:rPr>
                  </w:pPr>
                  <w:r>
                    <w:rPr>
                      <w:rFonts w:eastAsia="宋体"/>
                      <w:b/>
                      <w:bCs/>
                      <w:sz w:val="21"/>
                      <w:szCs w:val="21"/>
                    </w:rPr>
                    <w:t>处理工艺</w:t>
                  </w:r>
                </w:p>
              </w:tc>
              <w:tc>
                <w:tcPr>
                  <w:tcW w:w="590" w:type="pct"/>
                  <w:vAlign w:val="center"/>
                </w:tcPr>
                <w:p>
                  <w:pPr>
                    <w:pStyle w:val="40"/>
                    <w:adjustRightInd w:val="0"/>
                    <w:snapToGrid w:val="0"/>
                    <w:spacing w:line="320" w:lineRule="exact"/>
                    <w:ind w:firstLine="0" w:firstLineChars="0"/>
                    <w:jc w:val="center"/>
                    <w:rPr>
                      <w:rFonts w:eastAsia="宋体"/>
                      <w:b/>
                      <w:bCs/>
                      <w:sz w:val="21"/>
                      <w:szCs w:val="21"/>
                    </w:rPr>
                  </w:pPr>
                  <w:r>
                    <w:rPr>
                      <w:rFonts w:eastAsia="宋体"/>
                      <w:b/>
                      <w:bCs/>
                      <w:sz w:val="21"/>
                      <w:szCs w:val="21"/>
                    </w:rPr>
                    <w:t>处理效率（%）</w:t>
                  </w:r>
                </w:p>
              </w:tc>
              <w:tc>
                <w:tcPr>
                  <w:tcW w:w="595" w:type="pct"/>
                  <w:vAlign w:val="center"/>
                </w:tcPr>
                <w:p>
                  <w:pPr>
                    <w:pStyle w:val="40"/>
                    <w:adjustRightInd w:val="0"/>
                    <w:snapToGrid w:val="0"/>
                    <w:spacing w:line="320" w:lineRule="exact"/>
                    <w:ind w:firstLine="0" w:firstLineChars="0"/>
                    <w:jc w:val="center"/>
                    <w:rPr>
                      <w:rFonts w:eastAsia="宋体"/>
                      <w:b/>
                      <w:bCs/>
                      <w:sz w:val="21"/>
                      <w:szCs w:val="21"/>
                    </w:rPr>
                  </w:pPr>
                  <w:r>
                    <w:rPr>
                      <w:rFonts w:eastAsia="宋体"/>
                      <w:b/>
                      <w:bCs/>
                      <w:sz w:val="21"/>
                      <w:szCs w:val="21"/>
                    </w:rPr>
                    <w:t>是否为可行技术</w:t>
                  </w:r>
                </w:p>
              </w:tc>
              <w:tc>
                <w:tcPr>
                  <w:tcW w:w="685" w:type="pct"/>
                  <w:vMerge w:val="continue"/>
                  <w:vAlign w:val="center"/>
                </w:tcPr>
                <w:p>
                  <w:pPr>
                    <w:pStyle w:val="40"/>
                    <w:adjustRightInd w:val="0"/>
                    <w:snapToGrid w:val="0"/>
                    <w:spacing w:line="320" w:lineRule="exact"/>
                    <w:ind w:firstLine="0" w:firstLineChars="0"/>
                    <w:jc w:val="center"/>
                    <w:rPr>
                      <w:rFonts w:eastAsia="宋体"/>
                      <w:sz w:val="21"/>
                      <w:szCs w:val="21"/>
                    </w:rPr>
                  </w:pPr>
                </w:p>
              </w:tc>
              <w:tc>
                <w:tcPr>
                  <w:tcW w:w="473" w:type="pct"/>
                  <w:vMerge w:val="continue"/>
                  <w:vAlign w:val="center"/>
                </w:tcPr>
                <w:p>
                  <w:pPr>
                    <w:pStyle w:val="40"/>
                    <w:adjustRightInd w:val="0"/>
                    <w:snapToGrid w:val="0"/>
                    <w:spacing w:line="320" w:lineRule="exact"/>
                    <w:ind w:firstLine="0" w:firstLineChars="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54" w:type="pct"/>
                  <w:vAlign w:val="center"/>
                </w:tcPr>
                <w:p>
                  <w:pPr>
                    <w:pStyle w:val="40"/>
                    <w:adjustRightInd w:val="0"/>
                    <w:snapToGrid w:val="0"/>
                    <w:spacing w:line="320" w:lineRule="exact"/>
                    <w:ind w:firstLine="0" w:firstLineChars="0"/>
                    <w:jc w:val="center"/>
                    <w:rPr>
                      <w:rFonts w:eastAsia="宋体"/>
                      <w:sz w:val="21"/>
                      <w:szCs w:val="21"/>
                    </w:rPr>
                  </w:pPr>
                  <w:r>
                    <w:rPr>
                      <w:rFonts w:eastAsia="宋体"/>
                      <w:sz w:val="21"/>
                      <w:szCs w:val="21"/>
                    </w:rPr>
                    <w:t>1</w:t>
                  </w:r>
                </w:p>
              </w:tc>
              <w:tc>
                <w:tcPr>
                  <w:tcW w:w="358" w:type="pct"/>
                  <w:vAlign w:val="center"/>
                </w:tcPr>
                <w:p>
                  <w:pPr>
                    <w:pStyle w:val="40"/>
                    <w:adjustRightInd w:val="0"/>
                    <w:snapToGrid w:val="0"/>
                    <w:spacing w:line="320" w:lineRule="exact"/>
                    <w:ind w:firstLine="0" w:firstLineChars="0"/>
                    <w:jc w:val="center"/>
                    <w:rPr>
                      <w:rFonts w:eastAsia="宋体"/>
                      <w:sz w:val="21"/>
                      <w:szCs w:val="21"/>
                    </w:rPr>
                  </w:pPr>
                  <w:r>
                    <w:rPr>
                      <w:rFonts w:eastAsia="宋体"/>
                      <w:sz w:val="21"/>
                      <w:szCs w:val="21"/>
                    </w:rPr>
                    <w:t>生活污水</w:t>
                  </w:r>
                </w:p>
              </w:tc>
              <w:tc>
                <w:tcPr>
                  <w:tcW w:w="780" w:type="pct"/>
                  <w:vAlign w:val="center"/>
                </w:tcPr>
                <w:p>
                  <w:pPr>
                    <w:pStyle w:val="40"/>
                    <w:adjustRightInd w:val="0"/>
                    <w:snapToGrid w:val="0"/>
                    <w:spacing w:line="320" w:lineRule="exact"/>
                    <w:ind w:firstLine="0" w:firstLineChars="0"/>
                    <w:jc w:val="center"/>
                    <w:rPr>
                      <w:rFonts w:eastAsia="宋体"/>
                      <w:sz w:val="21"/>
                      <w:szCs w:val="21"/>
                    </w:rPr>
                  </w:pPr>
                  <w:r>
                    <w:rPr>
                      <w:rFonts w:eastAsia="宋体"/>
                      <w:sz w:val="21"/>
                      <w:szCs w:val="21"/>
                    </w:rPr>
                    <w:t>COD</w:t>
                  </w:r>
                  <w:r>
                    <w:rPr>
                      <w:rFonts w:eastAsia="宋体"/>
                      <w:sz w:val="21"/>
                      <w:szCs w:val="21"/>
                      <w:vertAlign w:val="subscript"/>
                    </w:rPr>
                    <w:t>Cr</w:t>
                  </w:r>
                  <w:r>
                    <w:rPr>
                      <w:rFonts w:eastAsia="宋体"/>
                      <w:sz w:val="21"/>
                      <w:szCs w:val="21"/>
                    </w:rPr>
                    <w:t>、氨氮</w:t>
                  </w:r>
                  <w:r>
                    <w:rPr>
                      <w:rFonts w:hint="eastAsia" w:eastAsia="宋体"/>
                      <w:sz w:val="21"/>
                      <w:szCs w:val="21"/>
                    </w:rPr>
                    <w:t>、动植物油、S</w:t>
                  </w:r>
                  <w:r>
                    <w:rPr>
                      <w:rFonts w:eastAsia="宋体"/>
                      <w:sz w:val="21"/>
                      <w:szCs w:val="21"/>
                    </w:rPr>
                    <w:t>S等</w:t>
                  </w:r>
                </w:p>
              </w:tc>
              <w:tc>
                <w:tcPr>
                  <w:tcW w:w="590" w:type="pct"/>
                  <w:vAlign w:val="center"/>
                </w:tcPr>
                <w:p>
                  <w:pPr>
                    <w:pStyle w:val="40"/>
                    <w:adjustRightInd w:val="0"/>
                    <w:snapToGrid w:val="0"/>
                    <w:spacing w:line="320" w:lineRule="exact"/>
                    <w:ind w:firstLine="0" w:firstLineChars="0"/>
                    <w:jc w:val="center"/>
                    <w:rPr>
                      <w:rFonts w:eastAsia="宋体"/>
                      <w:sz w:val="21"/>
                      <w:szCs w:val="21"/>
                    </w:rPr>
                  </w:pPr>
                  <w:r>
                    <w:rPr>
                      <w:rFonts w:hint="eastAsia" w:eastAsia="宋体"/>
                      <w:sz w:val="21"/>
                      <w:szCs w:val="21"/>
                    </w:rPr>
                    <w:t>150</w:t>
                  </w:r>
                </w:p>
              </w:tc>
              <w:tc>
                <w:tcPr>
                  <w:tcW w:w="675" w:type="pct"/>
                  <w:vAlign w:val="center"/>
                </w:tcPr>
                <w:p>
                  <w:pPr>
                    <w:pStyle w:val="40"/>
                    <w:adjustRightInd w:val="0"/>
                    <w:snapToGrid w:val="0"/>
                    <w:spacing w:line="320" w:lineRule="exact"/>
                    <w:ind w:firstLine="0" w:firstLineChars="0"/>
                    <w:jc w:val="center"/>
                    <w:rPr>
                      <w:rFonts w:eastAsia="宋体"/>
                      <w:sz w:val="21"/>
                      <w:szCs w:val="21"/>
                    </w:rPr>
                  </w:pPr>
                  <w:r>
                    <w:rPr>
                      <w:rFonts w:eastAsia="宋体"/>
                      <w:sz w:val="21"/>
                      <w:szCs w:val="21"/>
                    </w:rPr>
                    <w:t>化粪池</w:t>
                  </w:r>
                </w:p>
              </w:tc>
              <w:tc>
                <w:tcPr>
                  <w:tcW w:w="590" w:type="pct"/>
                  <w:vAlign w:val="center"/>
                </w:tcPr>
                <w:p>
                  <w:pPr>
                    <w:pStyle w:val="40"/>
                    <w:adjustRightInd w:val="0"/>
                    <w:snapToGrid w:val="0"/>
                    <w:spacing w:line="320" w:lineRule="exact"/>
                    <w:ind w:firstLine="0" w:firstLineChars="0"/>
                    <w:jc w:val="center"/>
                    <w:rPr>
                      <w:rFonts w:eastAsia="宋体"/>
                      <w:sz w:val="21"/>
                      <w:szCs w:val="21"/>
                    </w:rPr>
                  </w:pPr>
                  <w:r>
                    <w:rPr>
                      <w:rFonts w:eastAsia="宋体"/>
                      <w:sz w:val="21"/>
                      <w:szCs w:val="21"/>
                    </w:rPr>
                    <w:t>/</w:t>
                  </w:r>
                </w:p>
              </w:tc>
              <w:tc>
                <w:tcPr>
                  <w:tcW w:w="595" w:type="pct"/>
                  <w:vAlign w:val="center"/>
                </w:tcPr>
                <w:p>
                  <w:pPr>
                    <w:pStyle w:val="40"/>
                    <w:adjustRightInd w:val="0"/>
                    <w:snapToGrid w:val="0"/>
                    <w:spacing w:line="320" w:lineRule="exact"/>
                    <w:ind w:firstLine="0" w:firstLineChars="0"/>
                    <w:jc w:val="center"/>
                    <w:rPr>
                      <w:rFonts w:eastAsia="宋体"/>
                      <w:sz w:val="21"/>
                      <w:szCs w:val="21"/>
                    </w:rPr>
                  </w:pPr>
                  <w:r>
                    <w:rPr>
                      <w:rFonts w:eastAsia="宋体"/>
                      <w:sz w:val="21"/>
                      <w:szCs w:val="21"/>
                    </w:rPr>
                    <w:t>是</w:t>
                  </w:r>
                </w:p>
              </w:tc>
              <w:tc>
                <w:tcPr>
                  <w:tcW w:w="685" w:type="pct"/>
                  <w:vMerge w:val="restart"/>
                  <w:vAlign w:val="center"/>
                </w:tcPr>
                <w:p>
                  <w:pPr>
                    <w:pStyle w:val="40"/>
                    <w:adjustRightInd w:val="0"/>
                    <w:snapToGrid w:val="0"/>
                    <w:spacing w:line="320" w:lineRule="exact"/>
                    <w:ind w:firstLine="0" w:firstLineChars="0"/>
                    <w:jc w:val="center"/>
                    <w:rPr>
                      <w:rFonts w:eastAsia="宋体"/>
                      <w:sz w:val="21"/>
                      <w:szCs w:val="21"/>
                    </w:rPr>
                  </w:pPr>
                  <w:r>
                    <w:rPr>
                      <w:rFonts w:eastAsia="宋体"/>
                      <w:sz w:val="21"/>
                      <w:szCs w:val="21"/>
                    </w:rPr>
                    <w:t>一般排放口</w:t>
                  </w:r>
                </w:p>
              </w:tc>
              <w:tc>
                <w:tcPr>
                  <w:tcW w:w="473" w:type="pct"/>
                  <w:vMerge w:val="restart"/>
                  <w:vAlign w:val="center"/>
                </w:tcPr>
                <w:p>
                  <w:pPr>
                    <w:pStyle w:val="40"/>
                    <w:adjustRightInd w:val="0"/>
                    <w:snapToGrid w:val="0"/>
                    <w:spacing w:line="320" w:lineRule="exact"/>
                    <w:ind w:firstLine="0" w:firstLineChars="0"/>
                    <w:jc w:val="center"/>
                    <w:rPr>
                      <w:rFonts w:eastAsia="宋体"/>
                      <w:sz w:val="21"/>
                      <w:szCs w:val="21"/>
                    </w:rPr>
                  </w:pPr>
                  <w:r>
                    <w:rPr>
                      <w:rFonts w:eastAsia="宋体"/>
                      <w:sz w:val="21"/>
                      <w:szCs w:val="21"/>
                    </w:rPr>
                    <w:t>DW001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54" w:type="pct"/>
                  <w:vAlign w:val="center"/>
                </w:tcPr>
                <w:p>
                  <w:pPr>
                    <w:pStyle w:val="40"/>
                    <w:adjustRightInd w:val="0"/>
                    <w:snapToGrid w:val="0"/>
                    <w:spacing w:line="320" w:lineRule="exact"/>
                    <w:ind w:firstLine="0" w:firstLineChars="0"/>
                    <w:jc w:val="center"/>
                    <w:rPr>
                      <w:rFonts w:eastAsia="宋体"/>
                      <w:sz w:val="21"/>
                      <w:szCs w:val="21"/>
                    </w:rPr>
                  </w:pPr>
                  <w:r>
                    <w:rPr>
                      <w:rFonts w:hint="eastAsia" w:eastAsia="宋体"/>
                      <w:sz w:val="21"/>
                      <w:szCs w:val="21"/>
                    </w:rPr>
                    <w:t>2</w:t>
                  </w:r>
                </w:p>
              </w:tc>
              <w:tc>
                <w:tcPr>
                  <w:tcW w:w="358" w:type="pct"/>
                  <w:vAlign w:val="center"/>
                </w:tcPr>
                <w:p>
                  <w:pPr>
                    <w:pStyle w:val="40"/>
                    <w:adjustRightInd w:val="0"/>
                    <w:snapToGrid w:val="0"/>
                    <w:spacing w:line="320" w:lineRule="exact"/>
                    <w:ind w:firstLine="0" w:firstLineChars="0"/>
                    <w:jc w:val="center"/>
                    <w:rPr>
                      <w:rFonts w:eastAsia="宋体"/>
                      <w:sz w:val="21"/>
                      <w:szCs w:val="21"/>
                    </w:rPr>
                  </w:pPr>
                  <w:r>
                    <w:rPr>
                      <w:rFonts w:hint="eastAsia" w:eastAsia="宋体"/>
                      <w:sz w:val="21"/>
                      <w:szCs w:val="21"/>
                    </w:rPr>
                    <w:t>食堂废水</w:t>
                  </w:r>
                </w:p>
              </w:tc>
              <w:tc>
                <w:tcPr>
                  <w:tcW w:w="780" w:type="pct"/>
                  <w:vAlign w:val="center"/>
                </w:tcPr>
                <w:p>
                  <w:pPr>
                    <w:pStyle w:val="40"/>
                    <w:adjustRightInd w:val="0"/>
                    <w:snapToGrid w:val="0"/>
                    <w:spacing w:line="320" w:lineRule="exact"/>
                    <w:ind w:firstLine="0" w:firstLineChars="0"/>
                    <w:jc w:val="center"/>
                    <w:rPr>
                      <w:rFonts w:eastAsia="宋体"/>
                      <w:sz w:val="21"/>
                      <w:szCs w:val="21"/>
                    </w:rPr>
                  </w:pPr>
                  <w:r>
                    <w:rPr>
                      <w:rFonts w:hint="eastAsia" w:eastAsia="宋体"/>
                      <w:sz w:val="21"/>
                      <w:szCs w:val="21"/>
                    </w:rPr>
                    <w:t>COD</w:t>
                  </w:r>
                  <w:r>
                    <w:rPr>
                      <w:rFonts w:hint="eastAsia" w:eastAsia="宋体"/>
                      <w:sz w:val="21"/>
                      <w:szCs w:val="21"/>
                      <w:vertAlign w:val="subscript"/>
                    </w:rPr>
                    <w:t>Cr</w:t>
                  </w:r>
                  <w:r>
                    <w:rPr>
                      <w:rFonts w:hint="eastAsia" w:eastAsia="宋体"/>
                      <w:sz w:val="21"/>
                      <w:szCs w:val="21"/>
                    </w:rPr>
                    <w:t>、氨氮、动植物油、SS等</w:t>
                  </w:r>
                </w:p>
              </w:tc>
              <w:tc>
                <w:tcPr>
                  <w:tcW w:w="590" w:type="pct"/>
                  <w:vAlign w:val="center"/>
                </w:tcPr>
                <w:p>
                  <w:pPr>
                    <w:pStyle w:val="40"/>
                    <w:adjustRightInd w:val="0"/>
                    <w:snapToGrid w:val="0"/>
                    <w:spacing w:line="320" w:lineRule="exact"/>
                    <w:ind w:firstLine="0" w:firstLineChars="0"/>
                    <w:jc w:val="center"/>
                    <w:rPr>
                      <w:rFonts w:eastAsia="宋体"/>
                      <w:sz w:val="21"/>
                      <w:szCs w:val="21"/>
                    </w:rPr>
                  </w:pPr>
                  <w:r>
                    <w:rPr>
                      <w:rFonts w:hint="eastAsia" w:eastAsia="宋体"/>
                      <w:sz w:val="21"/>
                      <w:szCs w:val="21"/>
                    </w:rPr>
                    <w:t>/</w:t>
                  </w:r>
                </w:p>
              </w:tc>
              <w:tc>
                <w:tcPr>
                  <w:tcW w:w="675" w:type="pct"/>
                  <w:vAlign w:val="center"/>
                </w:tcPr>
                <w:p>
                  <w:pPr>
                    <w:pStyle w:val="40"/>
                    <w:adjustRightInd w:val="0"/>
                    <w:snapToGrid w:val="0"/>
                    <w:spacing w:line="320" w:lineRule="exact"/>
                    <w:ind w:firstLine="0" w:firstLineChars="0"/>
                    <w:jc w:val="center"/>
                    <w:rPr>
                      <w:rFonts w:eastAsia="宋体"/>
                      <w:sz w:val="21"/>
                      <w:szCs w:val="21"/>
                    </w:rPr>
                  </w:pPr>
                  <w:r>
                    <w:rPr>
                      <w:rFonts w:hint="eastAsia" w:eastAsia="宋体"/>
                      <w:sz w:val="21"/>
                      <w:szCs w:val="21"/>
                    </w:rPr>
                    <w:t>隔油池</w:t>
                  </w:r>
                </w:p>
              </w:tc>
              <w:tc>
                <w:tcPr>
                  <w:tcW w:w="590" w:type="pct"/>
                  <w:vAlign w:val="center"/>
                </w:tcPr>
                <w:p>
                  <w:pPr>
                    <w:pStyle w:val="40"/>
                    <w:adjustRightInd w:val="0"/>
                    <w:snapToGrid w:val="0"/>
                    <w:spacing w:line="320" w:lineRule="exact"/>
                    <w:ind w:firstLine="0" w:firstLineChars="0"/>
                    <w:jc w:val="center"/>
                    <w:rPr>
                      <w:rFonts w:eastAsia="宋体"/>
                      <w:sz w:val="21"/>
                      <w:szCs w:val="21"/>
                    </w:rPr>
                  </w:pPr>
                  <w:r>
                    <w:rPr>
                      <w:rFonts w:hint="eastAsia" w:eastAsia="宋体"/>
                      <w:sz w:val="21"/>
                      <w:szCs w:val="21"/>
                    </w:rPr>
                    <w:t>/</w:t>
                  </w:r>
                </w:p>
              </w:tc>
              <w:tc>
                <w:tcPr>
                  <w:tcW w:w="595" w:type="pct"/>
                  <w:vAlign w:val="center"/>
                </w:tcPr>
                <w:p>
                  <w:pPr>
                    <w:pStyle w:val="40"/>
                    <w:adjustRightInd w:val="0"/>
                    <w:snapToGrid w:val="0"/>
                    <w:spacing w:line="320" w:lineRule="exact"/>
                    <w:ind w:firstLine="0" w:firstLineChars="0"/>
                    <w:jc w:val="center"/>
                    <w:rPr>
                      <w:rFonts w:eastAsia="宋体"/>
                      <w:sz w:val="21"/>
                      <w:szCs w:val="21"/>
                    </w:rPr>
                  </w:pPr>
                  <w:r>
                    <w:rPr>
                      <w:rFonts w:hint="eastAsia" w:eastAsia="宋体"/>
                      <w:sz w:val="21"/>
                      <w:szCs w:val="21"/>
                    </w:rPr>
                    <w:t>是</w:t>
                  </w:r>
                </w:p>
              </w:tc>
              <w:tc>
                <w:tcPr>
                  <w:tcW w:w="685" w:type="pct"/>
                  <w:vMerge w:val="continue"/>
                  <w:vAlign w:val="center"/>
                </w:tcPr>
                <w:p>
                  <w:pPr>
                    <w:pStyle w:val="40"/>
                    <w:adjustRightInd w:val="0"/>
                    <w:snapToGrid w:val="0"/>
                    <w:spacing w:line="320" w:lineRule="exact"/>
                    <w:ind w:firstLine="420"/>
                    <w:jc w:val="center"/>
                    <w:rPr>
                      <w:rFonts w:eastAsia="宋体"/>
                      <w:sz w:val="21"/>
                      <w:szCs w:val="21"/>
                    </w:rPr>
                  </w:pPr>
                </w:p>
              </w:tc>
              <w:tc>
                <w:tcPr>
                  <w:tcW w:w="473" w:type="pct"/>
                  <w:vMerge w:val="continue"/>
                  <w:vAlign w:val="center"/>
                </w:tcPr>
                <w:p>
                  <w:pPr>
                    <w:pStyle w:val="40"/>
                    <w:adjustRightInd w:val="0"/>
                    <w:snapToGrid w:val="0"/>
                    <w:spacing w:line="320" w:lineRule="exact"/>
                    <w:ind w:firstLine="42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40"/>
                    <w:adjustRightInd w:val="0"/>
                    <w:snapToGrid w:val="0"/>
                    <w:spacing w:line="320" w:lineRule="exact"/>
                    <w:ind w:firstLine="0" w:firstLineChars="0"/>
                    <w:jc w:val="center"/>
                    <w:rPr>
                      <w:rFonts w:eastAsia="宋体"/>
                      <w:sz w:val="21"/>
                      <w:szCs w:val="21"/>
                    </w:rPr>
                  </w:pPr>
                  <w:r>
                    <w:rPr>
                      <w:rFonts w:hint="eastAsia" w:eastAsia="宋体"/>
                      <w:sz w:val="21"/>
                      <w:szCs w:val="21"/>
                    </w:rPr>
                    <w:t>3</w:t>
                  </w:r>
                </w:p>
              </w:tc>
              <w:tc>
                <w:tcPr>
                  <w:tcW w:w="358" w:type="pct"/>
                  <w:vAlign w:val="center"/>
                </w:tcPr>
                <w:p>
                  <w:pPr>
                    <w:pStyle w:val="40"/>
                    <w:adjustRightInd w:val="0"/>
                    <w:snapToGrid w:val="0"/>
                    <w:spacing w:line="320" w:lineRule="exact"/>
                    <w:ind w:firstLine="0" w:firstLineChars="0"/>
                    <w:jc w:val="center"/>
                    <w:rPr>
                      <w:rFonts w:eastAsia="宋体"/>
                      <w:sz w:val="21"/>
                      <w:szCs w:val="21"/>
                    </w:rPr>
                  </w:pPr>
                  <w:r>
                    <w:rPr>
                      <w:rFonts w:hint="eastAsia" w:eastAsia="宋体"/>
                      <w:sz w:val="21"/>
                      <w:szCs w:val="21"/>
                    </w:rPr>
                    <w:t>实验室废水</w:t>
                  </w:r>
                </w:p>
              </w:tc>
              <w:tc>
                <w:tcPr>
                  <w:tcW w:w="780" w:type="pct"/>
                  <w:vAlign w:val="center"/>
                </w:tcPr>
                <w:p>
                  <w:pPr>
                    <w:pStyle w:val="40"/>
                    <w:adjustRightInd w:val="0"/>
                    <w:snapToGrid w:val="0"/>
                    <w:spacing w:line="320" w:lineRule="exact"/>
                    <w:ind w:firstLine="0" w:firstLineChars="0"/>
                    <w:jc w:val="center"/>
                    <w:rPr>
                      <w:rFonts w:eastAsia="宋体"/>
                      <w:sz w:val="21"/>
                      <w:szCs w:val="21"/>
                    </w:rPr>
                  </w:pPr>
                  <w:r>
                    <w:rPr>
                      <w:rFonts w:hint="eastAsia" w:eastAsia="宋体"/>
                      <w:sz w:val="21"/>
                      <w:szCs w:val="21"/>
                    </w:rPr>
                    <w:t>C</w:t>
                  </w:r>
                  <w:r>
                    <w:rPr>
                      <w:rFonts w:eastAsia="宋体"/>
                      <w:sz w:val="21"/>
                      <w:szCs w:val="21"/>
                    </w:rPr>
                    <w:t>OD</w:t>
                  </w:r>
                  <w:r>
                    <w:rPr>
                      <w:rFonts w:eastAsia="宋体"/>
                      <w:sz w:val="21"/>
                      <w:szCs w:val="21"/>
                      <w:vertAlign w:val="subscript"/>
                    </w:rPr>
                    <w:t>C</w:t>
                  </w:r>
                  <w:r>
                    <w:rPr>
                      <w:rFonts w:hint="eastAsia" w:eastAsia="宋体"/>
                      <w:sz w:val="21"/>
                      <w:szCs w:val="21"/>
                      <w:vertAlign w:val="subscript"/>
                    </w:rPr>
                    <w:t>r</w:t>
                  </w:r>
                  <w:r>
                    <w:rPr>
                      <w:rFonts w:hint="eastAsia" w:eastAsia="宋体"/>
                      <w:sz w:val="21"/>
                      <w:szCs w:val="21"/>
                    </w:rPr>
                    <w:t>、氨氮、S</w:t>
                  </w:r>
                  <w:r>
                    <w:rPr>
                      <w:rFonts w:eastAsia="宋体"/>
                      <w:sz w:val="21"/>
                      <w:szCs w:val="21"/>
                    </w:rPr>
                    <w:t>S</w:t>
                  </w:r>
                  <w:r>
                    <w:rPr>
                      <w:rFonts w:hint="eastAsia" w:eastAsia="宋体"/>
                      <w:sz w:val="21"/>
                      <w:szCs w:val="21"/>
                    </w:rPr>
                    <w:t>等</w:t>
                  </w:r>
                </w:p>
              </w:tc>
              <w:tc>
                <w:tcPr>
                  <w:tcW w:w="590" w:type="pct"/>
                  <w:vAlign w:val="center"/>
                </w:tcPr>
                <w:p>
                  <w:pPr>
                    <w:pStyle w:val="40"/>
                    <w:adjustRightInd w:val="0"/>
                    <w:snapToGrid w:val="0"/>
                    <w:spacing w:line="320" w:lineRule="exact"/>
                    <w:ind w:firstLine="0" w:firstLineChars="0"/>
                    <w:jc w:val="center"/>
                    <w:rPr>
                      <w:rFonts w:eastAsia="宋体"/>
                      <w:sz w:val="21"/>
                      <w:szCs w:val="21"/>
                    </w:rPr>
                  </w:pPr>
                  <w:r>
                    <w:rPr>
                      <w:rFonts w:eastAsia="宋体"/>
                      <w:sz w:val="21"/>
                      <w:szCs w:val="21"/>
                    </w:rPr>
                    <w:t>3</w:t>
                  </w:r>
                </w:p>
              </w:tc>
              <w:tc>
                <w:tcPr>
                  <w:tcW w:w="675" w:type="pct"/>
                  <w:vAlign w:val="center"/>
                </w:tcPr>
                <w:p>
                  <w:pPr>
                    <w:pStyle w:val="40"/>
                    <w:adjustRightInd w:val="0"/>
                    <w:snapToGrid w:val="0"/>
                    <w:spacing w:line="320" w:lineRule="exact"/>
                    <w:ind w:firstLine="0" w:firstLineChars="0"/>
                    <w:jc w:val="center"/>
                    <w:rPr>
                      <w:rFonts w:eastAsia="宋体"/>
                      <w:sz w:val="21"/>
                      <w:szCs w:val="21"/>
                    </w:rPr>
                  </w:pPr>
                  <w:r>
                    <w:rPr>
                      <w:rFonts w:hint="eastAsia" w:eastAsia="宋体"/>
                      <w:sz w:val="21"/>
                      <w:szCs w:val="21"/>
                    </w:rPr>
                    <w:t>中和</w:t>
                  </w:r>
                </w:p>
              </w:tc>
              <w:tc>
                <w:tcPr>
                  <w:tcW w:w="590" w:type="pct"/>
                  <w:vAlign w:val="center"/>
                </w:tcPr>
                <w:p>
                  <w:pPr>
                    <w:pStyle w:val="40"/>
                    <w:adjustRightInd w:val="0"/>
                    <w:snapToGrid w:val="0"/>
                    <w:spacing w:line="320" w:lineRule="exact"/>
                    <w:ind w:firstLine="0" w:firstLineChars="0"/>
                    <w:jc w:val="center"/>
                    <w:rPr>
                      <w:rFonts w:eastAsia="宋体"/>
                      <w:sz w:val="21"/>
                      <w:szCs w:val="21"/>
                    </w:rPr>
                  </w:pPr>
                  <w:r>
                    <w:rPr>
                      <w:rFonts w:hint="eastAsia" w:eastAsia="宋体"/>
                      <w:sz w:val="21"/>
                      <w:szCs w:val="21"/>
                    </w:rPr>
                    <w:t>/</w:t>
                  </w:r>
                </w:p>
              </w:tc>
              <w:tc>
                <w:tcPr>
                  <w:tcW w:w="595" w:type="pct"/>
                  <w:vAlign w:val="center"/>
                </w:tcPr>
                <w:p>
                  <w:pPr>
                    <w:pStyle w:val="40"/>
                    <w:adjustRightInd w:val="0"/>
                    <w:snapToGrid w:val="0"/>
                    <w:spacing w:line="320" w:lineRule="exact"/>
                    <w:ind w:firstLine="0" w:firstLineChars="0"/>
                    <w:jc w:val="center"/>
                    <w:rPr>
                      <w:rFonts w:eastAsia="宋体"/>
                      <w:sz w:val="21"/>
                      <w:szCs w:val="21"/>
                    </w:rPr>
                  </w:pPr>
                  <w:r>
                    <w:rPr>
                      <w:rFonts w:hint="eastAsia" w:eastAsia="宋体"/>
                      <w:sz w:val="21"/>
                      <w:szCs w:val="21"/>
                    </w:rPr>
                    <w:t>是</w:t>
                  </w:r>
                </w:p>
              </w:tc>
              <w:tc>
                <w:tcPr>
                  <w:tcW w:w="685" w:type="pct"/>
                  <w:vMerge w:val="continue"/>
                  <w:vAlign w:val="center"/>
                </w:tcPr>
                <w:p>
                  <w:pPr>
                    <w:pStyle w:val="40"/>
                    <w:adjustRightInd w:val="0"/>
                    <w:snapToGrid w:val="0"/>
                    <w:spacing w:line="320" w:lineRule="exact"/>
                    <w:ind w:firstLine="0" w:firstLineChars="0"/>
                    <w:jc w:val="center"/>
                    <w:rPr>
                      <w:rFonts w:eastAsia="宋体"/>
                      <w:sz w:val="21"/>
                      <w:szCs w:val="21"/>
                    </w:rPr>
                  </w:pPr>
                </w:p>
              </w:tc>
              <w:tc>
                <w:tcPr>
                  <w:tcW w:w="473" w:type="pct"/>
                  <w:vMerge w:val="continue"/>
                  <w:vAlign w:val="center"/>
                </w:tcPr>
                <w:p>
                  <w:pPr>
                    <w:pStyle w:val="40"/>
                    <w:adjustRightInd w:val="0"/>
                    <w:snapToGrid w:val="0"/>
                    <w:spacing w:line="320" w:lineRule="exact"/>
                    <w:ind w:firstLine="0" w:firstLineChars="0"/>
                    <w:jc w:val="center"/>
                    <w:rPr>
                      <w:rFonts w:eastAsia="宋体"/>
                      <w:sz w:val="21"/>
                      <w:szCs w:val="21"/>
                    </w:rPr>
                  </w:pPr>
                </w:p>
              </w:tc>
            </w:tr>
          </w:tbl>
          <w:p>
            <w:pPr>
              <w:pStyle w:val="5"/>
              <w:spacing w:before="156" w:beforeLines="50"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表4</w:t>
            </w:r>
            <w:r>
              <w:rPr>
                <w:rFonts w:ascii="Times New Roman" w:hAnsi="Times New Roman" w:eastAsia="宋体" w:cs="Times New Roman"/>
                <w:sz w:val="21"/>
                <w:szCs w:val="21"/>
              </w:rPr>
              <w:t>-</w:t>
            </w:r>
            <w:r>
              <w:rPr>
                <w:rFonts w:hint="eastAsia" w:ascii="Times New Roman" w:hAnsi="Times New Roman" w:eastAsia="宋体" w:cs="Times New Roman"/>
                <w:sz w:val="21"/>
                <w:szCs w:val="21"/>
              </w:rPr>
              <w:t>8</w:t>
            </w:r>
            <w:r>
              <w:rPr>
                <w:rFonts w:ascii="Times New Roman" w:hAnsi="Times New Roman" w:eastAsia="宋体" w:cs="Times New Roman"/>
                <w:sz w:val="21"/>
                <w:szCs w:val="21"/>
              </w:rPr>
              <w:t>废水间接排放口基本情况表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01"/>
              <w:gridCol w:w="780"/>
              <w:gridCol w:w="1042"/>
              <w:gridCol w:w="900"/>
              <w:gridCol w:w="1060"/>
              <w:gridCol w:w="636"/>
              <w:gridCol w:w="795"/>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97" w:type="pct"/>
                  <w:vMerge w:val="restart"/>
                  <w:vAlign w:val="center"/>
                </w:tcPr>
                <w:p>
                  <w:pPr>
                    <w:pStyle w:val="62"/>
                    <w:numPr>
                      <w:ilvl w:val="0"/>
                      <w:numId w:val="0"/>
                    </w:numPr>
                    <w:rPr>
                      <w:rFonts w:ascii="Times New Roman" w:hAnsi="Times New Roman" w:cs="Times New Roman"/>
                      <w:b/>
                      <w:sz w:val="21"/>
                      <w:szCs w:val="21"/>
                    </w:rPr>
                  </w:pPr>
                  <w:r>
                    <w:rPr>
                      <w:rFonts w:ascii="Times New Roman" w:hAnsi="Times New Roman" w:cs="Times New Roman"/>
                      <w:b/>
                      <w:sz w:val="21"/>
                      <w:szCs w:val="21"/>
                    </w:rPr>
                    <w:t>序号</w:t>
                  </w:r>
                </w:p>
              </w:tc>
              <w:tc>
                <w:tcPr>
                  <w:tcW w:w="510" w:type="pct"/>
                  <w:vMerge w:val="restart"/>
                  <w:vAlign w:val="center"/>
                </w:tcPr>
                <w:p>
                  <w:pPr>
                    <w:pStyle w:val="62"/>
                    <w:numPr>
                      <w:ilvl w:val="0"/>
                      <w:numId w:val="0"/>
                    </w:numPr>
                    <w:rPr>
                      <w:rFonts w:ascii="Times New Roman" w:hAnsi="Times New Roman" w:cs="Times New Roman"/>
                      <w:b/>
                      <w:sz w:val="21"/>
                      <w:szCs w:val="21"/>
                    </w:rPr>
                  </w:pPr>
                  <w:r>
                    <w:rPr>
                      <w:rFonts w:ascii="Times New Roman" w:hAnsi="Times New Roman" w:cs="Times New Roman"/>
                      <w:b/>
                      <w:sz w:val="21"/>
                      <w:szCs w:val="21"/>
                    </w:rPr>
                    <w:t>排放口</w:t>
                  </w:r>
                </w:p>
                <w:p>
                  <w:pPr>
                    <w:pStyle w:val="62"/>
                    <w:numPr>
                      <w:ilvl w:val="0"/>
                      <w:numId w:val="0"/>
                    </w:numPr>
                    <w:rPr>
                      <w:rFonts w:ascii="Times New Roman" w:hAnsi="Times New Roman" w:cs="Times New Roman"/>
                      <w:b/>
                      <w:sz w:val="21"/>
                      <w:szCs w:val="21"/>
                    </w:rPr>
                  </w:pPr>
                  <w:r>
                    <w:rPr>
                      <w:rFonts w:ascii="Times New Roman" w:hAnsi="Times New Roman" w:cs="Times New Roman"/>
                      <w:b/>
                      <w:sz w:val="21"/>
                      <w:szCs w:val="21"/>
                    </w:rPr>
                    <w:t>编号</w:t>
                  </w:r>
                </w:p>
              </w:tc>
              <w:tc>
                <w:tcPr>
                  <w:tcW w:w="1269" w:type="pct"/>
                  <w:gridSpan w:val="2"/>
                  <w:vAlign w:val="center"/>
                </w:tcPr>
                <w:p>
                  <w:pPr>
                    <w:pStyle w:val="62"/>
                    <w:numPr>
                      <w:ilvl w:val="0"/>
                      <w:numId w:val="0"/>
                    </w:numPr>
                    <w:rPr>
                      <w:rFonts w:ascii="Times New Roman" w:hAnsi="Times New Roman" w:cs="Times New Roman"/>
                      <w:b/>
                      <w:sz w:val="21"/>
                      <w:szCs w:val="21"/>
                    </w:rPr>
                  </w:pPr>
                  <w:r>
                    <w:rPr>
                      <w:rFonts w:ascii="Times New Roman" w:hAnsi="Times New Roman" w:cs="Times New Roman"/>
                      <w:b/>
                      <w:sz w:val="21"/>
                      <w:szCs w:val="21"/>
                    </w:rPr>
                    <w:t>排放口地理坐标</w:t>
                  </w:r>
                </w:p>
              </w:tc>
              <w:tc>
                <w:tcPr>
                  <w:tcW w:w="693" w:type="pct"/>
                  <w:vMerge w:val="restart"/>
                  <w:vAlign w:val="center"/>
                </w:tcPr>
                <w:p>
                  <w:pPr>
                    <w:adjustRightInd w:val="0"/>
                    <w:snapToGrid w:val="0"/>
                    <w:spacing w:line="320" w:lineRule="exact"/>
                    <w:jc w:val="center"/>
                    <w:rPr>
                      <w:rFonts w:eastAsia="宋体"/>
                      <w:b/>
                      <w:bCs/>
                      <w:sz w:val="21"/>
                      <w:szCs w:val="21"/>
                    </w:rPr>
                  </w:pPr>
                  <w:r>
                    <w:rPr>
                      <w:rFonts w:eastAsia="宋体"/>
                      <w:b/>
                      <w:bCs/>
                      <w:sz w:val="21"/>
                      <w:szCs w:val="21"/>
                    </w:rPr>
                    <w:t>废水排放量</w:t>
                  </w:r>
                </w:p>
                <w:p>
                  <w:pPr>
                    <w:adjustRightInd w:val="0"/>
                    <w:snapToGrid w:val="0"/>
                    <w:spacing w:line="320" w:lineRule="exact"/>
                    <w:jc w:val="center"/>
                    <w:rPr>
                      <w:rFonts w:eastAsia="宋体"/>
                      <w:b/>
                      <w:bCs/>
                      <w:sz w:val="21"/>
                      <w:szCs w:val="21"/>
                    </w:rPr>
                  </w:pPr>
                  <w:r>
                    <w:rPr>
                      <w:rFonts w:eastAsia="宋体"/>
                      <w:b/>
                      <w:bCs/>
                      <w:sz w:val="21"/>
                      <w:szCs w:val="21"/>
                    </w:rPr>
                    <w:t>（万m</w:t>
                  </w:r>
                  <w:r>
                    <w:rPr>
                      <w:rFonts w:eastAsia="宋体"/>
                      <w:b/>
                      <w:bCs/>
                      <w:sz w:val="21"/>
                      <w:szCs w:val="21"/>
                      <w:vertAlign w:val="superscript"/>
                    </w:rPr>
                    <w:t>3</w:t>
                  </w:r>
                  <w:r>
                    <w:rPr>
                      <w:rFonts w:eastAsia="宋体"/>
                      <w:b/>
                      <w:bCs/>
                      <w:sz w:val="21"/>
                      <w:szCs w:val="21"/>
                    </w:rPr>
                    <w:t>/a）</w:t>
                  </w:r>
                </w:p>
              </w:tc>
              <w:tc>
                <w:tcPr>
                  <w:tcW w:w="416" w:type="pct"/>
                  <w:vMerge w:val="restart"/>
                  <w:vAlign w:val="center"/>
                </w:tcPr>
                <w:p>
                  <w:pPr>
                    <w:adjustRightInd w:val="0"/>
                    <w:snapToGrid w:val="0"/>
                    <w:spacing w:line="320" w:lineRule="exact"/>
                    <w:jc w:val="center"/>
                    <w:rPr>
                      <w:rFonts w:eastAsia="宋体"/>
                      <w:b/>
                      <w:bCs/>
                      <w:sz w:val="21"/>
                      <w:szCs w:val="21"/>
                    </w:rPr>
                  </w:pPr>
                  <w:r>
                    <w:rPr>
                      <w:rFonts w:eastAsia="宋体"/>
                      <w:b/>
                      <w:bCs/>
                      <w:sz w:val="21"/>
                      <w:szCs w:val="21"/>
                    </w:rPr>
                    <w:t>排放</w:t>
                  </w:r>
                </w:p>
                <w:p>
                  <w:pPr>
                    <w:adjustRightInd w:val="0"/>
                    <w:snapToGrid w:val="0"/>
                    <w:spacing w:line="320" w:lineRule="exact"/>
                    <w:jc w:val="center"/>
                    <w:rPr>
                      <w:rFonts w:eastAsia="宋体"/>
                      <w:b/>
                      <w:bCs/>
                      <w:sz w:val="21"/>
                      <w:szCs w:val="21"/>
                    </w:rPr>
                  </w:pPr>
                  <w:r>
                    <w:rPr>
                      <w:rFonts w:eastAsia="宋体"/>
                      <w:b/>
                      <w:bCs/>
                      <w:sz w:val="21"/>
                      <w:szCs w:val="21"/>
                    </w:rPr>
                    <w:t>方式</w:t>
                  </w:r>
                </w:p>
              </w:tc>
              <w:tc>
                <w:tcPr>
                  <w:tcW w:w="520" w:type="pct"/>
                  <w:vMerge w:val="restart"/>
                  <w:vAlign w:val="center"/>
                </w:tcPr>
                <w:p>
                  <w:pPr>
                    <w:adjustRightInd w:val="0"/>
                    <w:snapToGrid w:val="0"/>
                    <w:spacing w:line="320" w:lineRule="exact"/>
                    <w:jc w:val="center"/>
                    <w:rPr>
                      <w:rFonts w:eastAsia="宋体"/>
                      <w:b/>
                      <w:bCs/>
                      <w:sz w:val="21"/>
                      <w:szCs w:val="21"/>
                    </w:rPr>
                  </w:pPr>
                  <w:r>
                    <w:rPr>
                      <w:rFonts w:eastAsia="宋体"/>
                      <w:b/>
                      <w:bCs/>
                      <w:sz w:val="21"/>
                      <w:szCs w:val="21"/>
                    </w:rPr>
                    <w:t>排放</w:t>
                  </w:r>
                </w:p>
                <w:p>
                  <w:pPr>
                    <w:adjustRightInd w:val="0"/>
                    <w:snapToGrid w:val="0"/>
                    <w:spacing w:line="320" w:lineRule="exact"/>
                    <w:jc w:val="center"/>
                    <w:rPr>
                      <w:rFonts w:eastAsia="宋体"/>
                      <w:b/>
                      <w:bCs/>
                      <w:sz w:val="21"/>
                      <w:szCs w:val="21"/>
                    </w:rPr>
                  </w:pPr>
                  <w:r>
                    <w:rPr>
                      <w:rFonts w:eastAsia="宋体"/>
                      <w:b/>
                      <w:bCs/>
                      <w:sz w:val="21"/>
                      <w:szCs w:val="21"/>
                    </w:rPr>
                    <w:t>去向</w:t>
                  </w:r>
                </w:p>
              </w:tc>
              <w:tc>
                <w:tcPr>
                  <w:tcW w:w="1395" w:type="pct"/>
                  <w:vMerge w:val="restart"/>
                  <w:vAlign w:val="center"/>
                </w:tcPr>
                <w:p>
                  <w:pPr>
                    <w:adjustRightInd w:val="0"/>
                    <w:snapToGrid w:val="0"/>
                    <w:spacing w:line="320" w:lineRule="exact"/>
                    <w:jc w:val="center"/>
                    <w:rPr>
                      <w:rFonts w:eastAsia="宋体"/>
                      <w:b/>
                      <w:bCs/>
                      <w:sz w:val="21"/>
                      <w:szCs w:val="21"/>
                    </w:rPr>
                  </w:pPr>
                  <w:r>
                    <w:rPr>
                      <w:rFonts w:eastAsia="宋体"/>
                      <w:b/>
                      <w:bCs/>
                      <w:sz w:val="21"/>
                      <w:szCs w:val="21"/>
                    </w:rPr>
                    <w:t>排放规律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97" w:type="pct"/>
                  <w:vMerge w:val="continue"/>
                  <w:vAlign w:val="center"/>
                </w:tcPr>
                <w:p>
                  <w:pPr>
                    <w:pStyle w:val="62"/>
                    <w:numPr>
                      <w:ilvl w:val="0"/>
                      <w:numId w:val="0"/>
                    </w:numPr>
                    <w:rPr>
                      <w:rFonts w:ascii="Times New Roman" w:hAnsi="Times New Roman" w:cs="Times New Roman"/>
                      <w:bCs w:val="0"/>
                      <w:sz w:val="21"/>
                      <w:szCs w:val="21"/>
                    </w:rPr>
                  </w:pPr>
                </w:p>
              </w:tc>
              <w:tc>
                <w:tcPr>
                  <w:tcW w:w="510" w:type="pct"/>
                  <w:vMerge w:val="continue"/>
                  <w:vAlign w:val="center"/>
                </w:tcPr>
                <w:p>
                  <w:pPr>
                    <w:pStyle w:val="62"/>
                    <w:numPr>
                      <w:ilvl w:val="0"/>
                      <w:numId w:val="0"/>
                    </w:numPr>
                    <w:rPr>
                      <w:rFonts w:ascii="Times New Roman" w:hAnsi="Times New Roman" w:cs="Times New Roman"/>
                      <w:bCs w:val="0"/>
                      <w:sz w:val="21"/>
                      <w:szCs w:val="21"/>
                    </w:rPr>
                  </w:pPr>
                </w:p>
              </w:tc>
              <w:tc>
                <w:tcPr>
                  <w:tcW w:w="681" w:type="pct"/>
                  <w:vAlign w:val="center"/>
                </w:tcPr>
                <w:p>
                  <w:pPr>
                    <w:pStyle w:val="62"/>
                    <w:numPr>
                      <w:ilvl w:val="0"/>
                      <w:numId w:val="0"/>
                    </w:numPr>
                    <w:rPr>
                      <w:rFonts w:ascii="Times New Roman" w:hAnsi="Times New Roman" w:cs="Times New Roman"/>
                      <w:b/>
                      <w:sz w:val="21"/>
                      <w:szCs w:val="21"/>
                    </w:rPr>
                  </w:pPr>
                  <w:r>
                    <w:rPr>
                      <w:rFonts w:ascii="Times New Roman" w:hAnsi="Times New Roman" w:cs="Times New Roman"/>
                      <w:b/>
                      <w:sz w:val="21"/>
                      <w:szCs w:val="21"/>
                    </w:rPr>
                    <w:t>经度</w:t>
                  </w:r>
                </w:p>
              </w:tc>
              <w:tc>
                <w:tcPr>
                  <w:tcW w:w="588" w:type="pct"/>
                  <w:vAlign w:val="center"/>
                </w:tcPr>
                <w:p>
                  <w:pPr>
                    <w:pStyle w:val="62"/>
                    <w:numPr>
                      <w:ilvl w:val="0"/>
                      <w:numId w:val="0"/>
                    </w:numPr>
                    <w:rPr>
                      <w:rFonts w:ascii="Times New Roman" w:hAnsi="Times New Roman" w:cs="Times New Roman"/>
                      <w:b/>
                      <w:sz w:val="21"/>
                      <w:szCs w:val="21"/>
                    </w:rPr>
                  </w:pPr>
                  <w:r>
                    <w:rPr>
                      <w:rFonts w:ascii="Times New Roman" w:hAnsi="Times New Roman" w:cs="Times New Roman"/>
                      <w:b/>
                      <w:sz w:val="21"/>
                      <w:szCs w:val="21"/>
                    </w:rPr>
                    <w:t>纬度</w:t>
                  </w:r>
                </w:p>
              </w:tc>
              <w:tc>
                <w:tcPr>
                  <w:tcW w:w="693" w:type="pct"/>
                  <w:vMerge w:val="continue"/>
                  <w:vAlign w:val="center"/>
                </w:tcPr>
                <w:p>
                  <w:pPr>
                    <w:pStyle w:val="62"/>
                    <w:numPr>
                      <w:ilvl w:val="0"/>
                      <w:numId w:val="0"/>
                    </w:numPr>
                    <w:rPr>
                      <w:rFonts w:ascii="Times New Roman" w:hAnsi="Times New Roman" w:cs="Times New Roman"/>
                      <w:bCs w:val="0"/>
                      <w:sz w:val="21"/>
                      <w:szCs w:val="21"/>
                    </w:rPr>
                  </w:pPr>
                </w:p>
              </w:tc>
              <w:tc>
                <w:tcPr>
                  <w:tcW w:w="416" w:type="pct"/>
                  <w:vMerge w:val="continue"/>
                  <w:vAlign w:val="center"/>
                </w:tcPr>
                <w:p>
                  <w:pPr>
                    <w:pStyle w:val="62"/>
                    <w:numPr>
                      <w:ilvl w:val="0"/>
                      <w:numId w:val="0"/>
                    </w:numPr>
                    <w:rPr>
                      <w:rFonts w:ascii="Times New Roman" w:hAnsi="Times New Roman" w:cs="Times New Roman"/>
                      <w:bCs w:val="0"/>
                      <w:sz w:val="21"/>
                      <w:szCs w:val="21"/>
                    </w:rPr>
                  </w:pPr>
                </w:p>
              </w:tc>
              <w:tc>
                <w:tcPr>
                  <w:tcW w:w="520" w:type="pct"/>
                  <w:vMerge w:val="continue"/>
                  <w:vAlign w:val="center"/>
                </w:tcPr>
                <w:p>
                  <w:pPr>
                    <w:pStyle w:val="62"/>
                    <w:numPr>
                      <w:ilvl w:val="0"/>
                      <w:numId w:val="0"/>
                    </w:numPr>
                    <w:rPr>
                      <w:rFonts w:ascii="Times New Roman" w:hAnsi="Times New Roman" w:cs="Times New Roman"/>
                      <w:bCs w:val="0"/>
                      <w:sz w:val="21"/>
                      <w:szCs w:val="21"/>
                    </w:rPr>
                  </w:pPr>
                </w:p>
              </w:tc>
              <w:tc>
                <w:tcPr>
                  <w:tcW w:w="1395" w:type="pct"/>
                  <w:vMerge w:val="continue"/>
                  <w:vAlign w:val="center"/>
                </w:tcPr>
                <w:p>
                  <w:pPr>
                    <w:pStyle w:val="62"/>
                    <w:numPr>
                      <w:ilvl w:val="0"/>
                      <w:numId w:val="0"/>
                    </w:numPr>
                    <w:rPr>
                      <w:rFonts w:ascii="Times New Roman" w:hAnsi="Times New Roman" w:cs="Times New Roman"/>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97" w:type="pct"/>
                  <w:vAlign w:val="center"/>
                </w:tcPr>
                <w:p>
                  <w:pPr>
                    <w:adjustRightInd w:val="0"/>
                    <w:snapToGrid w:val="0"/>
                    <w:spacing w:line="320" w:lineRule="exact"/>
                    <w:jc w:val="center"/>
                    <w:rPr>
                      <w:rFonts w:eastAsia="宋体"/>
                      <w:sz w:val="21"/>
                      <w:szCs w:val="21"/>
                    </w:rPr>
                  </w:pPr>
                  <w:r>
                    <w:rPr>
                      <w:rFonts w:eastAsia="宋体"/>
                      <w:sz w:val="21"/>
                      <w:szCs w:val="21"/>
                    </w:rPr>
                    <w:t>1</w:t>
                  </w:r>
                </w:p>
              </w:tc>
              <w:tc>
                <w:tcPr>
                  <w:tcW w:w="510" w:type="pct"/>
                  <w:vAlign w:val="center"/>
                </w:tcPr>
                <w:p>
                  <w:pPr>
                    <w:adjustRightInd w:val="0"/>
                    <w:snapToGrid w:val="0"/>
                    <w:spacing w:line="320" w:lineRule="exact"/>
                    <w:jc w:val="center"/>
                    <w:rPr>
                      <w:rFonts w:eastAsia="宋体"/>
                      <w:sz w:val="21"/>
                      <w:szCs w:val="21"/>
                    </w:rPr>
                  </w:pPr>
                  <w:r>
                    <w:rPr>
                      <w:rFonts w:eastAsia="宋体"/>
                      <w:sz w:val="21"/>
                      <w:szCs w:val="21"/>
                    </w:rPr>
                    <w:t>DW001</w:t>
                  </w:r>
                </w:p>
              </w:tc>
              <w:tc>
                <w:tcPr>
                  <w:tcW w:w="681" w:type="pct"/>
                  <w:vAlign w:val="center"/>
                </w:tcPr>
                <w:p>
                  <w:pPr>
                    <w:spacing w:line="320" w:lineRule="exact"/>
                    <w:jc w:val="center"/>
                    <w:rPr>
                      <w:rFonts w:eastAsia="宋体"/>
                      <w:sz w:val="21"/>
                      <w:szCs w:val="21"/>
                    </w:rPr>
                  </w:pPr>
                  <w:r>
                    <w:rPr>
                      <w:rFonts w:hint="eastAsia" w:eastAsia="宋体"/>
                      <w:sz w:val="21"/>
                      <w:szCs w:val="21"/>
                    </w:rPr>
                    <w:t>1</w:t>
                  </w:r>
                  <w:r>
                    <w:rPr>
                      <w:rFonts w:eastAsia="宋体"/>
                      <w:sz w:val="21"/>
                      <w:szCs w:val="21"/>
                    </w:rPr>
                    <w:t>2</w:t>
                  </w:r>
                  <w:r>
                    <w:rPr>
                      <w:rFonts w:hint="eastAsia" w:eastAsia="宋体"/>
                      <w:sz w:val="21"/>
                      <w:szCs w:val="21"/>
                    </w:rPr>
                    <w:t>0°18′6.42″</w:t>
                  </w:r>
                </w:p>
              </w:tc>
              <w:tc>
                <w:tcPr>
                  <w:tcW w:w="588" w:type="pct"/>
                  <w:vAlign w:val="center"/>
                </w:tcPr>
                <w:p>
                  <w:pPr>
                    <w:spacing w:line="320" w:lineRule="exact"/>
                    <w:jc w:val="center"/>
                    <w:rPr>
                      <w:rFonts w:eastAsia="宋体"/>
                      <w:sz w:val="21"/>
                      <w:szCs w:val="21"/>
                    </w:rPr>
                  </w:pPr>
                  <w:r>
                    <w:rPr>
                      <w:rFonts w:hint="eastAsia" w:eastAsia="宋体"/>
                      <w:sz w:val="21"/>
                      <w:szCs w:val="21"/>
                    </w:rPr>
                    <w:t>3</w:t>
                  </w:r>
                  <w:r>
                    <w:rPr>
                      <w:rFonts w:eastAsia="宋体"/>
                      <w:sz w:val="21"/>
                      <w:szCs w:val="21"/>
                    </w:rPr>
                    <w:t>0</w:t>
                  </w:r>
                  <w:r>
                    <w:rPr>
                      <w:rFonts w:hint="eastAsia" w:eastAsia="宋体"/>
                      <w:sz w:val="21"/>
                      <w:szCs w:val="21"/>
                    </w:rPr>
                    <w:t>°22′56.83″</w:t>
                  </w:r>
                </w:p>
              </w:tc>
              <w:tc>
                <w:tcPr>
                  <w:tcW w:w="693" w:type="pct"/>
                  <w:vAlign w:val="center"/>
                </w:tcPr>
                <w:p>
                  <w:pPr>
                    <w:adjustRightInd w:val="0"/>
                    <w:snapToGrid w:val="0"/>
                    <w:spacing w:line="320" w:lineRule="exact"/>
                    <w:jc w:val="center"/>
                    <w:rPr>
                      <w:rFonts w:eastAsia="宋体"/>
                      <w:sz w:val="21"/>
                      <w:szCs w:val="21"/>
                    </w:rPr>
                  </w:pPr>
                  <w:r>
                    <w:rPr>
                      <w:rFonts w:hint="eastAsia" w:eastAsia="宋体"/>
                      <w:sz w:val="21"/>
                      <w:szCs w:val="21"/>
                    </w:rPr>
                    <w:t>2.57</w:t>
                  </w:r>
                </w:p>
              </w:tc>
              <w:tc>
                <w:tcPr>
                  <w:tcW w:w="416" w:type="pct"/>
                  <w:vAlign w:val="center"/>
                </w:tcPr>
                <w:p>
                  <w:pPr>
                    <w:pStyle w:val="25"/>
                    <w:spacing w:before="0" w:beforeAutospacing="0" w:after="0" w:afterAutospacing="0" w:line="320" w:lineRule="exact"/>
                    <w:jc w:val="center"/>
                    <w:rPr>
                      <w:rFonts w:eastAsia="宋体"/>
                      <w:kern w:val="2"/>
                      <w:sz w:val="21"/>
                      <w:szCs w:val="21"/>
                    </w:rPr>
                  </w:pPr>
                  <w:r>
                    <w:rPr>
                      <w:rFonts w:eastAsia="宋体"/>
                      <w:kern w:val="2"/>
                      <w:sz w:val="21"/>
                      <w:szCs w:val="21"/>
                    </w:rPr>
                    <w:t>间接排放</w:t>
                  </w:r>
                </w:p>
              </w:tc>
              <w:tc>
                <w:tcPr>
                  <w:tcW w:w="520" w:type="pct"/>
                  <w:vAlign w:val="center"/>
                </w:tcPr>
                <w:p>
                  <w:pPr>
                    <w:pStyle w:val="25"/>
                    <w:spacing w:before="0" w:beforeAutospacing="0" w:after="0" w:afterAutospacing="0" w:line="320" w:lineRule="exact"/>
                    <w:jc w:val="center"/>
                    <w:rPr>
                      <w:rFonts w:eastAsia="宋体"/>
                      <w:kern w:val="2"/>
                      <w:sz w:val="21"/>
                      <w:szCs w:val="21"/>
                    </w:rPr>
                  </w:pPr>
                  <w:r>
                    <w:rPr>
                      <w:rFonts w:eastAsia="宋体"/>
                      <w:kern w:val="2"/>
                      <w:sz w:val="21"/>
                      <w:szCs w:val="21"/>
                    </w:rPr>
                    <w:t>城市污水处理厂</w:t>
                  </w:r>
                </w:p>
              </w:tc>
              <w:tc>
                <w:tcPr>
                  <w:tcW w:w="1395" w:type="pct"/>
                  <w:vAlign w:val="center"/>
                </w:tcPr>
                <w:p>
                  <w:pPr>
                    <w:pStyle w:val="25"/>
                    <w:spacing w:before="0" w:beforeAutospacing="0" w:after="0" w:afterAutospacing="0" w:line="320" w:lineRule="exact"/>
                    <w:jc w:val="center"/>
                    <w:rPr>
                      <w:rFonts w:eastAsia="宋体"/>
                      <w:kern w:val="2"/>
                      <w:sz w:val="21"/>
                      <w:szCs w:val="21"/>
                    </w:rPr>
                  </w:pPr>
                  <w:r>
                    <w:rPr>
                      <w:rFonts w:eastAsia="宋体"/>
                      <w:kern w:val="2"/>
                      <w:sz w:val="21"/>
                      <w:szCs w:val="21"/>
                    </w:rPr>
                    <w:t>间断排放，排放期间流量不稳定且无规律，但不属于冲击型排放</w:t>
                  </w:r>
                </w:p>
              </w:tc>
            </w:tr>
          </w:tbl>
          <w:p>
            <w:pPr>
              <w:pStyle w:val="16"/>
              <w:ind w:firstLine="480" w:firstLineChars="200"/>
              <w:jc w:val="left"/>
              <w:rPr>
                <w:rFonts w:ascii="Times New Roman" w:hAnsi="Times New Roman" w:eastAsia="宋体" w:cs="Times New Roman"/>
              </w:rPr>
            </w:pPr>
            <w:r>
              <w:rPr>
                <w:rFonts w:hint="eastAsia" w:ascii="Times New Roman" w:hAnsi="Times New Roman" w:eastAsia="宋体" w:cs="Times New Roman"/>
              </w:rPr>
              <w:t>（3）环境影响分析</w:t>
            </w:r>
          </w:p>
          <w:p>
            <w:pPr>
              <w:pStyle w:val="16"/>
              <w:ind w:firstLine="480" w:firstLineChars="200"/>
              <w:jc w:val="left"/>
              <w:rPr>
                <w:rFonts w:ascii="Times New Roman" w:hAnsi="Times New Roman" w:eastAsia="宋体" w:cs="Times New Roman"/>
              </w:rPr>
            </w:pPr>
            <w:r>
              <w:rPr>
                <w:rFonts w:hint="eastAsia" w:ascii="宋体" w:hAnsi="宋体" w:eastAsia="宋体" w:cs="Times New Roman"/>
              </w:rPr>
              <w:t>①</w:t>
            </w:r>
            <w:r>
              <w:rPr>
                <w:rFonts w:hint="eastAsia" w:ascii="Times New Roman" w:hAnsi="Times New Roman" w:eastAsia="宋体" w:cs="Times New Roman"/>
              </w:rPr>
              <w:t>依托污水处理厂的可行性分析</w:t>
            </w:r>
          </w:p>
          <w:p>
            <w:pPr>
              <w:autoSpaceDE w:val="0"/>
              <w:autoSpaceDN w:val="0"/>
              <w:adjustRightInd w:val="0"/>
              <w:ind w:firstLine="480" w:firstLineChars="200"/>
              <w:rPr>
                <w:rFonts w:eastAsia="宋体"/>
                <w:kern w:val="0"/>
              </w:rPr>
            </w:pPr>
            <w:r>
              <w:rPr>
                <w:rFonts w:hint="eastAsia" w:eastAsia="宋体"/>
                <w:kern w:val="0"/>
              </w:rPr>
              <w:t>本项目污水纳入临平净水厂，临平净水厂位于杭州市临平区南苑街道红联社区，沪杭高速南侧，东湖南路西侧，厂区建设用地面积约4.942公顷；服务范围为临平副城，包括6个街道（临平、东湖、南苑、星桥、乔司和运河街道）、2个开发区（余杭经济技术开发区、钱江经济开发区）的全部污水及塘栖镇和崇贤街道的部分污水。</w:t>
            </w:r>
          </w:p>
          <w:p>
            <w:pPr>
              <w:autoSpaceDE w:val="0"/>
              <w:autoSpaceDN w:val="0"/>
              <w:adjustRightInd w:val="0"/>
              <w:ind w:firstLine="480" w:firstLineChars="200"/>
              <w:rPr>
                <w:rFonts w:eastAsia="宋体"/>
                <w:kern w:val="0"/>
              </w:rPr>
            </w:pPr>
            <w:r>
              <w:rPr>
                <w:rFonts w:hint="eastAsia" w:eastAsia="宋体"/>
                <w:kern w:val="0"/>
              </w:rPr>
              <w:t>临平净水厂规划远景（2030年）规模为60万m</w:t>
            </w:r>
            <w:r>
              <w:rPr>
                <w:rFonts w:hint="eastAsia" w:eastAsia="宋体"/>
                <w:kern w:val="0"/>
                <w:vertAlign w:val="superscript"/>
              </w:rPr>
              <w:t>2</w:t>
            </w:r>
            <w:r>
              <w:rPr>
                <w:rFonts w:hint="eastAsia" w:eastAsia="宋体"/>
                <w:kern w:val="0"/>
              </w:rPr>
              <w:t>/d，分期实施，一期工程建设规模为20万m</w:t>
            </w:r>
            <w:r>
              <w:rPr>
                <w:rFonts w:hint="eastAsia" w:eastAsia="宋体"/>
                <w:kern w:val="0"/>
                <w:vertAlign w:val="superscript"/>
              </w:rPr>
              <w:t>3</w:t>
            </w:r>
            <w:r>
              <w:rPr>
                <w:rFonts w:hint="eastAsia" w:eastAsia="宋体"/>
                <w:kern w:val="0"/>
              </w:rPr>
              <w:t>/d，选用全地埋式布置方式，污水处理工艺采用水解酸化+膜生物反应器（MBR），出水标准执行《城镇污水处理厂污染物排放标准》（GB18918-2002）一级A类标准（其中COD</w:t>
            </w:r>
            <w:r>
              <w:rPr>
                <w:rFonts w:hint="eastAsia" w:eastAsia="宋体"/>
                <w:kern w:val="0"/>
                <w:vertAlign w:val="subscript"/>
              </w:rPr>
              <w:t>Cr</w:t>
            </w:r>
            <w:r>
              <w:rPr>
                <w:rFonts w:hint="eastAsia" w:eastAsia="宋体"/>
                <w:kern w:val="0"/>
              </w:rPr>
              <w:t>、氨氮、总氮、总磷按《城镇污水处理厂主要水污染物排放标准》（DB33/2169-2018）执行）限值，纳污水体为钱塘江。</w:t>
            </w:r>
          </w:p>
          <w:p>
            <w:pPr>
              <w:autoSpaceDE w:val="0"/>
              <w:autoSpaceDN w:val="0"/>
              <w:adjustRightInd w:val="0"/>
              <w:ind w:firstLine="480" w:firstLineChars="200"/>
              <w:rPr>
                <w:rFonts w:eastAsia="宋体"/>
                <w:kern w:val="0"/>
              </w:rPr>
            </w:pPr>
            <w:r>
              <w:rPr>
                <w:rFonts w:hint="eastAsia" w:eastAsia="宋体"/>
                <w:kern w:val="0"/>
              </w:rPr>
              <w:t>污水处理工艺流程见下图。</w:t>
            </w:r>
          </w:p>
          <w:p>
            <w:pPr>
              <w:pStyle w:val="16"/>
              <w:jc w:val="center"/>
            </w:pPr>
            <w:r>
              <w:rPr>
                <w:rFonts w:hint="eastAsia"/>
              </w:rPr>
              <w:drawing>
                <wp:inline distT="0" distB="0" distL="0" distR="0">
                  <wp:extent cx="4653915" cy="279590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srcRect/>
                          <a:stretch>
                            <a:fillRect/>
                          </a:stretch>
                        </pic:blipFill>
                        <pic:spPr>
                          <a:xfrm>
                            <a:off x="0" y="0"/>
                            <a:ext cx="4660011" cy="2799934"/>
                          </a:xfrm>
                          <a:prstGeom prst="rect">
                            <a:avLst/>
                          </a:prstGeom>
                          <a:noFill/>
                          <a:ln w="9525">
                            <a:noFill/>
                            <a:miter lim="800000"/>
                            <a:headEnd/>
                            <a:tailEnd/>
                          </a:ln>
                        </pic:spPr>
                      </pic:pic>
                    </a:graphicData>
                  </a:graphic>
                </wp:inline>
              </w:drawing>
            </w:r>
          </w:p>
          <w:p>
            <w:pPr>
              <w:autoSpaceDE w:val="0"/>
              <w:autoSpaceDN w:val="0"/>
              <w:adjustRightInd w:val="0"/>
              <w:jc w:val="center"/>
              <w:rPr>
                <w:rFonts w:eastAsia="宋体"/>
                <w:b/>
                <w:kern w:val="0"/>
                <w:sz w:val="21"/>
                <w:szCs w:val="21"/>
              </w:rPr>
            </w:pPr>
            <w:r>
              <w:rPr>
                <w:rFonts w:hint="eastAsia" w:eastAsia="宋体"/>
                <w:b/>
                <w:kern w:val="0"/>
                <w:sz w:val="21"/>
                <w:szCs w:val="21"/>
              </w:rPr>
              <w:t>图4-1 临平净水厂污水处理工艺流程图</w:t>
            </w:r>
          </w:p>
          <w:p>
            <w:pPr>
              <w:autoSpaceDE w:val="0"/>
              <w:autoSpaceDN w:val="0"/>
              <w:adjustRightInd w:val="0"/>
              <w:ind w:firstLine="480" w:firstLineChars="200"/>
              <w:rPr>
                <w:rFonts w:eastAsia="宋体"/>
                <w:kern w:val="0"/>
              </w:rPr>
            </w:pPr>
            <w:r>
              <w:rPr>
                <w:rFonts w:hint="eastAsia" w:eastAsia="宋体"/>
                <w:kern w:val="0"/>
              </w:rPr>
              <w:t>临平净水厂于2016年12月开工建设，2018年底通水运行，2019年11月通过竣工环保验收。该净水厂目前每天处理污水约17万t/d，实际运行负荷达到85%。根据浙江省重点排污单位监督性监测信息公开平台公布的临平净水厂2022年7月27日-8月2日监督性监测数据（详见下表）可知，临平净水厂尾水COD、氨氮、总氮、总磷排放执行《城镇污水处理厂主要水污染物排放标准》（DB33/2169-2018）表1中的排放限值，其他指标的排放能够达到《城镇污水处理厂污染物排放标准》中的一级A标准。</w:t>
            </w:r>
          </w:p>
          <w:p>
            <w:pPr>
              <w:pStyle w:val="16"/>
              <w:jc w:val="center"/>
              <w:rPr>
                <w:rFonts w:ascii="Times New Roman" w:hAnsi="Times New Roman" w:eastAsia="宋体" w:cs="Times New Roman"/>
                <w:b/>
                <w:kern w:val="0"/>
                <w:sz w:val="21"/>
                <w:szCs w:val="21"/>
              </w:rPr>
            </w:pPr>
            <w:r>
              <w:rPr>
                <w:rFonts w:hint="eastAsia" w:ascii="Times New Roman" w:hAnsi="Times New Roman" w:eastAsia="宋体" w:cs="Times New Roman"/>
                <w:b/>
                <w:kern w:val="0"/>
                <w:sz w:val="21"/>
                <w:szCs w:val="21"/>
              </w:rPr>
              <w:t>表4-9临平净水厂2022年7月27日-8月2日监督性监测结果</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273"/>
              <w:gridCol w:w="1273"/>
              <w:gridCol w:w="1273"/>
              <w:gridCol w:w="1273"/>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4" w:type="dxa"/>
                  <w:vAlign w:val="center"/>
                </w:tcPr>
                <w:p>
                  <w:pPr>
                    <w:pStyle w:val="16"/>
                    <w:spacing w:line="240" w:lineRule="auto"/>
                    <w:jc w:val="center"/>
                    <w:rPr>
                      <w:rFonts w:ascii="Times New Roman" w:hAnsi="Times New Roman" w:eastAsia="宋体" w:cs="Times New Roman"/>
                      <w:sz w:val="21"/>
                      <w:szCs w:val="21"/>
                    </w:rPr>
                  </w:pPr>
                  <w:r>
                    <w:rPr>
                      <w:rFonts w:ascii="Times New Roman" w:hAnsi="宋体" w:eastAsia="宋体" w:cs="Times New Roman"/>
                      <w:sz w:val="21"/>
                      <w:szCs w:val="21"/>
                    </w:rPr>
                    <w:t>时间</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pH</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宋体" w:eastAsia="宋体" w:cs="Times New Roman"/>
                      <w:sz w:val="21"/>
                      <w:szCs w:val="21"/>
                    </w:rPr>
                    <w:t>化学需氧量</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宋体" w:eastAsia="宋体" w:cs="Times New Roman"/>
                      <w:sz w:val="21"/>
                      <w:szCs w:val="21"/>
                    </w:rPr>
                    <w:t>氨氮</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宋体" w:eastAsia="宋体" w:cs="Times New Roman"/>
                      <w:sz w:val="21"/>
                      <w:szCs w:val="21"/>
                    </w:rPr>
                    <w:t>总磷</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宋体" w:eastAsia="宋体" w:cs="Times New Roman"/>
                      <w:sz w:val="21"/>
                      <w:szCs w:val="21"/>
                    </w:rPr>
                    <w:t>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4"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2022.7.27</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6.8</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28.2</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0.1392</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0.243</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7.328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4"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2022.7.28</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6.75</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28.008</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0.1396</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0.143</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5.118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4"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2022.7.29</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6.71</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26.41</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0.1413</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0.083</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4"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2022.7.30</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6.69</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25.09</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0.115</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0.081</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4"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2022.7.31</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6.69</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26.29</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0.1058</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0.096</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4"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2022.8.1</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684</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27.23</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0.2978</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0.117</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5.919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4"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2022.8.2</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6.73</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22.86</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0.0766</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0.057</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6.989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4" w:type="dxa"/>
                  <w:vAlign w:val="center"/>
                </w:tcPr>
                <w:p>
                  <w:pPr>
                    <w:pStyle w:val="16"/>
                    <w:spacing w:line="240" w:lineRule="auto"/>
                    <w:jc w:val="center"/>
                    <w:rPr>
                      <w:rFonts w:ascii="Times New Roman" w:hAnsi="Times New Roman" w:eastAsia="宋体" w:cs="Times New Roman"/>
                      <w:sz w:val="21"/>
                      <w:szCs w:val="21"/>
                    </w:rPr>
                  </w:pPr>
                  <w:r>
                    <w:rPr>
                      <w:rFonts w:ascii="Times New Roman" w:hAnsi="宋体" w:eastAsia="宋体" w:cs="Times New Roman"/>
                      <w:sz w:val="21"/>
                      <w:szCs w:val="21"/>
                    </w:rPr>
                    <w:t>标准</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6~9</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40</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w:t>
                  </w:r>
                  <w:r>
                    <w:rPr>
                      <w:rFonts w:ascii="Times New Roman" w:hAnsi="宋体" w:eastAsia="宋体" w:cs="Times New Roman"/>
                      <w:sz w:val="21"/>
                      <w:szCs w:val="21"/>
                    </w:rPr>
                    <w:t>（</w:t>
                  </w:r>
                  <w:r>
                    <w:rPr>
                      <w:rFonts w:ascii="Times New Roman" w:hAnsi="Times New Roman" w:eastAsia="宋体" w:cs="Times New Roman"/>
                      <w:sz w:val="21"/>
                      <w:szCs w:val="21"/>
                    </w:rPr>
                    <w:t>4</w:t>
                  </w:r>
                  <w:r>
                    <w:rPr>
                      <w:rFonts w:ascii="Times New Roman" w:hAnsi="宋体" w:eastAsia="宋体" w:cs="Times New Roman"/>
                      <w:sz w:val="21"/>
                      <w:szCs w:val="21"/>
                    </w:rPr>
                    <w:t>）</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0.3</w:t>
                  </w:r>
                </w:p>
              </w:tc>
              <w:tc>
                <w:tcPr>
                  <w:tcW w:w="1273" w:type="dxa"/>
                  <w:vAlign w:val="center"/>
                </w:tcPr>
                <w:p>
                  <w:pPr>
                    <w:pStyle w:val="16"/>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12</w:t>
                  </w:r>
                  <w:r>
                    <w:rPr>
                      <w:rFonts w:ascii="Times New Roman" w:hAnsi="宋体" w:eastAsia="宋体" w:cs="Times New Roman"/>
                      <w:sz w:val="21"/>
                      <w:szCs w:val="21"/>
                    </w:rPr>
                    <w:t>（</w:t>
                  </w:r>
                  <w:r>
                    <w:rPr>
                      <w:rFonts w:ascii="Times New Roman" w:hAnsi="Times New Roman" w:eastAsia="宋体" w:cs="Times New Roman"/>
                      <w:sz w:val="21"/>
                      <w:szCs w:val="21"/>
                    </w:rPr>
                    <w:t>15</w:t>
                  </w:r>
                  <w:r>
                    <w:rPr>
                      <w:rFonts w:ascii="Times New Roman" w:hAnsi="宋体"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9" w:type="dxa"/>
                  <w:gridSpan w:val="6"/>
                  <w:vAlign w:val="center"/>
                </w:tcPr>
                <w:p>
                  <w:pPr>
                    <w:pStyle w:val="16"/>
                    <w:spacing w:line="240" w:lineRule="auto"/>
                    <w:jc w:val="left"/>
                    <w:rPr>
                      <w:rFonts w:ascii="Times New Roman" w:hAnsi="Times New Roman" w:eastAsia="宋体" w:cs="Times New Roman"/>
                      <w:sz w:val="21"/>
                      <w:szCs w:val="21"/>
                    </w:rPr>
                  </w:pPr>
                  <w:r>
                    <w:rPr>
                      <w:rFonts w:ascii="Times New Roman" w:hAnsi="宋体" w:eastAsia="宋体" w:cs="Times New Roman"/>
                      <w:sz w:val="21"/>
                      <w:szCs w:val="21"/>
                    </w:rPr>
                    <w:t>注：括号内数值为每年</w:t>
                  </w:r>
                  <w:r>
                    <w:rPr>
                      <w:rFonts w:ascii="Times New Roman" w:hAnsi="Times New Roman" w:eastAsia="宋体" w:cs="Times New Roman"/>
                      <w:sz w:val="21"/>
                      <w:szCs w:val="21"/>
                    </w:rPr>
                    <w:t>11</w:t>
                  </w:r>
                  <w:r>
                    <w:rPr>
                      <w:rFonts w:ascii="Times New Roman" w:hAnsi="宋体" w:eastAsia="宋体" w:cs="Times New Roman"/>
                      <w:sz w:val="21"/>
                      <w:szCs w:val="21"/>
                    </w:rPr>
                    <w:t>月</w:t>
                  </w:r>
                  <w:r>
                    <w:rPr>
                      <w:rFonts w:ascii="Times New Roman" w:hAnsi="Times New Roman" w:eastAsia="宋体" w:cs="Times New Roman"/>
                      <w:sz w:val="21"/>
                      <w:szCs w:val="21"/>
                    </w:rPr>
                    <w:t>1</w:t>
                  </w:r>
                  <w:r>
                    <w:rPr>
                      <w:rFonts w:ascii="Times New Roman" w:hAnsi="宋体" w:eastAsia="宋体" w:cs="Times New Roman"/>
                      <w:sz w:val="21"/>
                      <w:szCs w:val="21"/>
                    </w:rPr>
                    <w:t>日至次年</w:t>
                  </w:r>
                  <w:r>
                    <w:rPr>
                      <w:rFonts w:ascii="Times New Roman" w:hAnsi="Times New Roman" w:eastAsia="宋体" w:cs="Times New Roman"/>
                      <w:sz w:val="21"/>
                      <w:szCs w:val="21"/>
                    </w:rPr>
                    <w:t>3</w:t>
                  </w:r>
                  <w:r>
                    <w:rPr>
                      <w:rFonts w:ascii="Times New Roman" w:hAnsi="宋体" w:eastAsia="宋体" w:cs="Times New Roman"/>
                      <w:sz w:val="21"/>
                      <w:szCs w:val="21"/>
                    </w:rPr>
                    <w:t>月</w:t>
                  </w:r>
                  <w:r>
                    <w:rPr>
                      <w:rFonts w:ascii="Times New Roman" w:hAnsi="Times New Roman" w:eastAsia="宋体" w:cs="Times New Roman"/>
                      <w:sz w:val="21"/>
                      <w:szCs w:val="21"/>
                    </w:rPr>
                    <w:t>31</w:t>
                  </w:r>
                  <w:r>
                    <w:rPr>
                      <w:rFonts w:ascii="Times New Roman" w:hAnsi="宋体" w:eastAsia="宋体" w:cs="Times New Roman"/>
                      <w:sz w:val="21"/>
                      <w:szCs w:val="21"/>
                    </w:rPr>
                    <w:t>日执行。</w:t>
                  </w:r>
                </w:p>
              </w:tc>
            </w:tr>
          </w:tbl>
          <w:p>
            <w:pPr>
              <w:autoSpaceDE w:val="0"/>
              <w:autoSpaceDN w:val="0"/>
              <w:adjustRightInd w:val="0"/>
              <w:ind w:firstLine="480" w:firstLineChars="200"/>
              <w:rPr>
                <w:rFonts w:eastAsia="宋体"/>
                <w:kern w:val="0"/>
              </w:rPr>
            </w:pPr>
            <w:r>
              <w:rPr>
                <w:rFonts w:hint="eastAsia" w:eastAsia="宋体"/>
                <w:kern w:val="0"/>
              </w:rPr>
              <w:t>由上表可知，临平净水厂排放口出水水质均能满足《城镇污水处理厂污染物排放标准》（GB18918-2002）一级A类标准（其中COD</w:t>
            </w:r>
            <w:r>
              <w:rPr>
                <w:rFonts w:hint="eastAsia" w:eastAsia="宋体"/>
                <w:kern w:val="0"/>
                <w:vertAlign w:val="subscript"/>
              </w:rPr>
              <w:t>Cr</w:t>
            </w:r>
            <w:r>
              <w:rPr>
                <w:rFonts w:hint="eastAsia" w:eastAsia="宋体"/>
                <w:kern w:val="0"/>
              </w:rPr>
              <w:t>、氨氮、总氮、总磷按《城镇污水处理厂主要水污染物排放标准》（DB33/2169-2018）执行），污水处理厂运行良好。</w:t>
            </w:r>
          </w:p>
          <w:p>
            <w:pPr>
              <w:pStyle w:val="16"/>
              <w:ind w:firstLine="480" w:firstLineChars="200"/>
              <w:jc w:val="left"/>
              <w:rPr>
                <w:rFonts w:ascii="宋体" w:hAnsi="宋体" w:eastAsia="宋体" w:cs="Times New Roman"/>
              </w:rPr>
            </w:pPr>
            <w:r>
              <w:rPr>
                <w:rFonts w:ascii="宋体" w:hAnsi="宋体" w:eastAsia="宋体" w:cs="Times New Roman"/>
              </w:rPr>
              <w:fldChar w:fldCharType="begin"/>
            </w:r>
            <w:r>
              <w:rPr>
                <w:rFonts w:ascii="宋体" w:hAnsi="宋体" w:eastAsia="宋体" w:cs="Times New Roman"/>
              </w:rPr>
              <w:instrText xml:space="preserve"> </w:instrText>
            </w:r>
            <w:r>
              <w:rPr>
                <w:rFonts w:hint="eastAsia" w:ascii="宋体" w:hAnsi="宋体" w:eastAsia="宋体" w:cs="Times New Roman"/>
              </w:rPr>
              <w:instrText xml:space="preserve">= 2 \* GB3</w:instrText>
            </w:r>
            <w:r>
              <w:rPr>
                <w:rFonts w:ascii="宋体" w:hAnsi="宋体" w:eastAsia="宋体" w:cs="Times New Roman"/>
              </w:rPr>
              <w:instrText xml:space="preserve"> </w:instrText>
            </w:r>
            <w:r>
              <w:rPr>
                <w:rFonts w:ascii="宋体" w:hAnsi="宋体" w:eastAsia="宋体" w:cs="Times New Roman"/>
              </w:rPr>
              <w:fldChar w:fldCharType="separate"/>
            </w:r>
            <w:r>
              <w:rPr>
                <w:rFonts w:hint="eastAsia" w:ascii="宋体" w:hAnsi="宋体" w:eastAsia="宋体" w:cs="Times New Roman"/>
              </w:rPr>
              <w:t>②</w:t>
            </w:r>
            <w:r>
              <w:rPr>
                <w:rFonts w:ascii="宋体" w:hAnsi="宋体" w:eastAsia="宋体" w:cs="Times New Roman"/>
              </w:rPr>
              <w:fldChar w:fldCharType="end"/>
            </w:r>
            <w:r>
              <w:rPr>
                <w:rFonts w:hint="eastAsia" w:ascii="宋体" w:hAnsi="宋体" w:eastAsia="宋体" w:cs="Times New Roman"/>
              </w:rPr>
              <w:t>依托污水处理设施的环境可行性评价</w:t>
            </w:r>
          </w:p>
          <w:p>
            <w:pPr>
              <w:autoSpaceDE w:val="0"/>
              <w:autoSpaceDN w:val="0"/>
              <w:adjustRightInd w:val="0"/>
              <w:ind w:firstLine="480" w:firstLineChars="200"/>
              <w:rPr>
                <w:rFonts w:eastAsia="宋体"/>
                <w:kern w:val="0"/>
              </w:rPr>
            </w:pPr>
            <w:r>
              <w:rPr>
                <w:rFonts w:eastAsia="宋体"/>
                <w:kern w:val="0"/>
              </w:rPr>
              <w:t>本项目</w:t>
            </w:r>
            <w:r>
              <w:rPr>
                <w:rFonts w:hint="eastAsia" w:eastAsia="宋体"/>
                <w:kern w:val="0"/>
              </w:rPr>
              <w:t>主要废水为大量生活污水（食堂废水）和少量的实验室废水</w:t>
            </w:r>
            <w:r>
              <w:rPr>
                <w:rFonts w:eastAsia="宋体"/>
                <w:kern w:val="0"/>
              </w:rPr>
              <w:t>，污染因子简单，污染物浓度较低，对</w:t>
            </w:r>
            <w:r>
              <w:rPr>
                <w:rFonts w:hint="eastAsia" w:eastAsia="宋体"/>
                <w:kern w:val="0"/>
              </w:rPr>
              <w:t>临平净水厂</w:t>
            </w:r>
            <w:r>
              <w:rPr>
                <w:rFonts w:eastAsia="宋体"/>
                <w:kern w:val="0"/>
              </w:rPr>
              <w:t>的处理能力不会产生影响，能够被污水处理厂现有工艺有效处理</w:t>
            </w:r>
            <w:r>
              <w:rPr>
                <w:rFonts w:hint="eastAsia" w:eastAsia="宋体"/>
                <w:kern w:val="0"/>
              </w:rPr>
              <w:t>。</w:t>
            </w:r>
          </w:p>
          <w:p>
            <w:pPr>
              <w:autoSpaceDE w:val="0"/>
              <w:autoSpaceDN w:val="0"/>
              <w:adjustRightInd w:val="0"/>
              <w:ind w:firstLine="480" w:firstLineChars="200"/>
              <w:rPr>
                <w:rFonts w:eastAsia="宋体"/>
                <w:kern w:val="0"/>
              </w:rPr>
            </w:pPr>
            <w:r>
              <w:rPr>
                <w:rFonts w:hint="eastAsia" w:eastAsia="宋体"/>
                <w:kern w:val="0"/>
              </w:rPr>
              <w:t>根据调查，临平净水厂设计处理能力为20万t/d，现状该净水厂每天处理污水约17万t/d，实际运行负荷达到85%，还有余量3万t/d，而本项目废水排放量约122.4t/d，排放量较少，对污水厂整体处理系统不会产生明显冲击影响。因此，废水正常排放情况下，本项目废水接入城市污水管网后送至临平净水厂处理，不会对污水处理厂的正常运行产生不良影响。</w:t>
            </w:r>
          </w:p>
          <w:p>
            <w:pPr>
              <w:pStyle w:val="16"/>
              <w:ind w:firstLine="482" w:firstLineChars="200"/>
              <w:rPr>
                <w:rFonts w:ascii="Times New Roman" w:hAnsi="Times New Roman" w:eastAsia="宋体" w:cs="Times New Roman"/>
                <w:b/>
              </w:rPr>
            </w:pPr>
            <w:r>
              <w:rPr>
                <w:rFonts w:ascii="Times New Roman" w:hAnsi="Times New Roman" w:eastAsia="宋体" w:cs="Times New Roman"/>
                <w:b/>
              </w:rPr>
              <w:t>3、噪声</w:t>
            </w:r>
          </w:p>
          <w:p>
            <w:pPr>
              <w:spacing w:line="440" w:lineRule="exact"/>
              <w:ind w:firstLine="480" w:firstLineChars="200"/>
              <w:rPr>
                <w:rFonts w:eastAsia="宋体"/>
              </w:rPr>
            </w:pPr>
            <w:r>
              <w:rPr>
                <w:rFonts w:hint="eastAsia" w:eastAsia="宋体"/>
              </w:rPr>
              <w:t>（1）噪声源强分析</w:t>
            </w:r>
          </w:p>
          <w:p>
            <w:pPr>
              <w:spacing w:line="440" w:lineRule="exact"/>
              <w:ind w:firstLine="480" w:firstLineChars="200"/>
              <w:rPr>
                <w:rFonts w:eastAsia="宋体"/>
              </w:rPr>
            </w:pPr>
            <w:r>
              <w:rPr>
                <w:rFonts w:eastAsia="宋体"/>
              </w:rPr>
              <w:t>本项目噪声主要来源于各类设备运转时产生的噪声</w:t>
            </w:r>
            <w:r>
              <w:rPr>
                <w:rFonts w:hint="eastAsia" w:eastAsia="宋体"/>
              </w:rPr>
              <w:t>，根据同类项目类比调查，主要设备及配套设施噪声源强汇总见表4-10和表4-11。</w:t>
            </w:r>
          </w:p>
          <w:p>
            <w:pPr>
              <w:pStyle w:val="40"/>
              <w:rPr>
                <w:rFonts w:eastAsia="宋体"/>
              </w:rPr>
            </w:pPr>
          </w:p>
        </w:tc>
      </w:tr>
    </w:tbl>
    <w:p>
      <w:pPr>
        <w:sectPr>
          <w:pgSz w:w="11906" w:h="16838"/>
          <w:pgMar w:top="1440" w:right="1800" w:bottom="1440" w:left="1800" w:header="851" w:footer="992" w:gutter="0"/>
          <w:pgNumType w:fmt="decimal"/>
          <w:cols w:space="425" w:num="1"/>
          <w:docGrid w:type="lines" w:linePitch="312" w:charSpace="0"/>
        </w:sect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13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3" w:hRule="atLeast"/>
        </w:trPr>
        <w:tc>
          <w:tcPr>
            <w:tcW w:w="454" w:type="dxa"/>
          </w:tcPr>
          <w:p>
            <w:pPr>
              <w:pStyle w:val="16"/>
            </w:pPr>
          </w:p>
        </w:tc>
        <w:tc>
          <w:tcPr>
            <w:tcW w:w="13512" w:type="dxa"/>
          </w:tcPr>
          <w:p>
            <w:pPr>
              <w:pStyle w:val="5"/>
              <w:spacing w:before="156" w:beforeLines="50"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表4</w:t>
            </w:r>
            <w:r>
              <w:rPr>
                <w:rFonts w:ascii="Times New Roman" w:hAnsi="Times New Roman" w:eastAsia="宋体" w:cs="Times New Roman"/>
                <w:sz w:val="21"/>
                <w:szCs w:val="21"/>
              </w:rPr>
              <w:t>-</w:t>
            </w:r>
            <w:r>
              <w:rPr>
                <w:rFonts w:hint="eastAsia" w:ascii="Times New Roman" w:hAnsi="Times New Roman" w:eastAsia="宋体" w:cs="Times New Roman"/>
                <w:sz w:val="21"/>
                <w:szCs w:val="21"/>
              </w:rPr>
              <w:t>10室内</w:t>
            </w:r>
            <w:r>
              <w:rPr>
                <w:rFonts w:hint="eastAsia" w:ascii="Times New Roman" w:hAnsi="Times New Roman" w:eastAsia="宋体" w:cs="Times New Roman"/>
                <w:sz w:val="21"/>
                <w:szCs w:val="21"/>
                <w:lang w:val="en-US" w:eastAsia="zh-CN"/>
              </w:rPr>
              <w:t>主要</w:t>
            </w:r>
            <w:r>
              <w:rPr>
                <w:rFonts w:ascii="Times New Roman" w:hAnsi="Times New Roman" w:eastAsia="宋体" w:cs="Times New Roman"/>
                <w:sz w:val="21"/>
                <w:szCs w:val="21"/>
              </w:rPr>
              <w:t>噪声源强调查清单</w:t>
            </w:r>
            <w:r>
              <w:rPr>
                <w:rFonts w:hint="eastAsia" w:ascii="Times New Roman" w:hAnsi="Times New Roman" w:eastAsia="宋体" w:cs="Times New Roman"/>
                <w:sz w:val="21"/>
                <w:szCs w:val="21"/>
              </w:rPr>
              <w:t xml:space="preserve"> 单位：dB（A）</w:t>
            </w:r>
          </w:p>
          <w:tbl>
            <w:tblPr>
              <w:tblStyle w:val="32"/>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1135"/>
              <w:gridCol w:w="1539"/>
              <w:gridCol w:w="687"/>
              <w:gridCol w:w="863"/>
              <w:gridCol w:w="754"/>
              <w:gridCol w:w="449"/>
              <w:gridCol w:w="518"/>
              <w:gridCol w:w="478"/>
              <w:gridCol w:w="916"/>
              <w:gridCol w:w="1054"/>
              <w:gridCol w:w="1309"/>
              <w:gridCol w:w="1017"/>
              <w:gridCol w:w="988"/>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8" w:type="pct"/>
                  <w:vMerge w:val="restar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序号</w:t>
                  </w:r>
                </w:p>
              </w:tc>
              <w:tc>
                <w:tcPr>
                  <w:tcW w:w="428" w:type="pct"/>
                  <w:vMerge w:val="restar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建筑物名称</w:t>
                  </w:r>
                </w:p>
              </w:tc>
              <w:tc>
                <w:tcPr>
                  <w:tcW w:w="580" w:type="pct"/>
                  <w:vMerge w:val="restar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声源名称</w:t>
                  </w:r>
                </w:p>
              </w:tc>
              <w:tc>
                <w:tcPr>
                  <w:tcW w:w="259" w:type="pct"/>
                  <w:vMerge w:val="restar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型号</w:t>
                  </w:r>
                </w:p>
              </w:tc>
              <w:tc>
                <w:tcPr>
                  <w:tcW w:w="325" w:type="pct"/>
                  <w:vMerge w:val="restart"/>
                  <w:vAlign w:val="center"/>
                </w:tcPr>
                <w:p>
                  <w:pPr>
                    <w:pStyle w:val="54"/>
                    <w:jc w:val="center"/>
                    <w:rPr>
                      <w:rFonts w:hint="eastAsia" w:ascii="Times New Roman" w:hAnsi="Times New Roman" w:eastAsia="宋体" w:cs="Times New Roman"/>
                      <w:sz w:val="21"/>
                      <w:szCs w:val="21"/>
                      <w:lang w:eastAsia="zh-CN"/>
                    </w:rPr>
                  </w:pPr>
                  <w:r>
                    <w:rPr>
                      <w:rFonts w:ascii="Times New Roman" w:hAnsi="Times New Roman" w:cs="Times New Roman"/>
                      <w:spacing w:val="-9"/>
                      <w:sz w:val="21"/>
                      <w:szCs w:val="21"/>
                    </w:rPr>
                    <w:t>声源源强</w:t>
                  </w:r>
                  <w:r>
                    <w:rPr>
                      <w:rFonts w:ascii="Times New Roman" w:hAnsi="Times New Roman" w:cs="Times New Roman"/>
                      <w:sz w:val="21"/>
                      <w:szCs w:val="21"/>
                    </w:rPr>
                    <w:t>/dB</w:t>
                  </w:r>
                  <w:r>
                    <w:rPr>
                      <w:rFonts w:hint="eastAsia" w:ascii="Times New Roman" w:hAnsi="Times New Roman" w:cs="Times New Roman"/>
                      <w:sz w:val="21"/>
                      <w:szCs w:val="21"/>
                      <w:lang w:eastAsia="zh-CN"/>
                    </w:rPr>
                    <w:t>（</w:t>
                  </w:r>
                  <w:r>
                    <w:rPr>
                      <w:rFonts w:ascii="Times New Roman" w:hAnsi="Times New Roman" w:cs="Times New Roman"/>
                      <w:sz w:val="21"/>
                      <w:szCs w:val="21"/>
                    </w:rPr>
                    <w:t>A</w:t>
                  </w:r>
                  <w:r>
                    <w:rPr>
                      <w:rFonts w:hint="eastAsia" w:ascii="Times New Roman" w:hAnsi="Times New Roman" w:cs="Times New Roman"/>
                      <w:sz w:val="21"/>
                      <w:szCs w:val="21"/>
                      <w:lang w:eastAsia="zh-CN"/>
                    </w:rPr>
                    <w:t>）</w:t>
                  </w:r>
                </w:p>
              </w:tc>
              <w:tc>
                <w:tcPr>
                  <w:tcW w:w="284" w:type="pct"/>
                  <w:vMerge w:val="restar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声源控制措施</w:t>
                  </w:r>
                </w:p>
              </w:tc>
              <w:tc>
                <w:tcPr>
                  <w:tcW w:w="544" w:type="pct"/>
                  <w:gridSpan w:val="3"/>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空间相对位置/m</w:t>
                  </w:r>
                </w:p>
              </w:tc>
              <w:tc>
                <w:tcPr>
                  <w:tcW w:w="345" w:type="pct"/>
                  <w:vMerge w:val="restar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距室内边界距离/m</w:t>
                  </w:r>
                </w:p>
              </w:tc>
              <w:tc>
                <w:tcPr>
                  <w:tcW w:w="397" w:type="pct"/>
                  <w:vMerge w:val="restart"/>
                  <w:vAlign w:val="center"/>
                </w:tcPr>
                <w:p>
                  <w:pPr>
                    <w:pStyle w:val="54"/>
                    <w:jc w:val="center"/>
                    <w:rPr>
                      <w:rFonts w:hint="eastAsia" w:ascii="Times New Roman" w:hAnsi="Times New Roman" w:eastAsia="宋体" w:cs="Times New Roman"/>
                      <w:sz w:val="21"/>
                      <w:szCs w:val="21"/>
                      <w:lang w:eastAsia="zh-CN"/>
                    </w:rPr>
                  </w:pPr>
                  <w:r>
                    <w:rPr>
                      <w:rFonts w:ascii="Times New Roman" w:hAnsi="Times New Roman" w:cs="Times New Roman"/>
                      <w:spacing w:val="-9"/>
                      <w:sz w:val="21"/>
                      <w:szCs w:val="21"/>
                    </w:rPr>
                    <w:t>室内边界声级</w:t>
                  </w:r>
                  <w:r>
                    <w:rPr>
                      <w:rFonts w:ascii="Times New Roman" w:hAnsi="Times New Roman" w:cs="Times New Roman"/>
                      <w:sz w:val="21"/>
                      <w:szCs w:val="21"/>
                    </w:rPr>
                    <w:t>/dB</w:t>
                  </w:r>
                  <w:r>
                    <w:rPr>
                      <w:rFonts w:hint="eastAsia" w:ascii="Times New Roman" w:hAnsi="Times New Roman" w:cs="Times New Roman"/>
                      <w:sz w:val="21"/>
                      <w:szCs w:val="21"/>
                      <w:lang w:eastAsia="zh-CN"/>
                    </w:rPr>
                    <w:t>（</w:t>
                  </w:r>
                  <w:r>
                    <w:rPr>
                      <w:rFonts w:ascii="Times New Roman" w:hAnsi="Times New Roman" w:cs="Times New Roman"/>
                      <w:sz w:val="21"/>
                      <w:szCs w:val="21"/>
                    </w:rPr>
                    <w:t>A</w:t>
                  </w:r>
                  <w:r>
                    <w:rPr>
                      <w:rFonts w:hint="eastAsia" w:ascii="Times New Roman" w:hAnsi="Times New Roman" w:cs="Times New Roman"/>
                      <w:sz w:val="21"/>
                      <w:szCs w:val="21"/>
                      <w:lang w:eastAsia="zh-CN"/>
                    </w:rPr>
                    <w:t>）</w:t>
                  </w:r>
                </w:p>
              </w:tc>
              <w:tc>
                <w:tcPr>
                  <w:tcW w:w="493" w:type="pct"/>
                  <w:vMerge w:val="restar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运行时段</w:t>
                  </w:r>
                </w:p>
              </w:tc>
              <w:tc>
                <w:tcPr>
                  <w:tcW w:w="383" w:type="pct"/>
                  <w:vMerge w:val="restart"/>
                  <w:vAlign w:val="center"/>
                </w:tcPr>
                <w:p>
                  <w:pPr>
                    <w:pStyle w:val="54"/>
                    <w:jc w:val="center"/>
                    <w:rPr>
                      <w:rFonts w:hint="eastAsia" w:ascii="Times New Roman" w:hAnsi="Times New Roman" w:eastAsia="宋体" w:cs="Times New Roman"/>
                      <w:sz w:val="21"/>
                      <w:szCs w:val="21"/>
                      <w:lang w:eastAsia="zh-CN"/>
                    </w:rPr>
                  </w:pPr>
                  <w:r>
                    <w:rPr>
                      <w:rFonts w:ascii="Times New Roman" w:hAnsi="Times New Roman" w:cs="Times New Roman"/>
                      <w:sz w:val="21"/>
                      <w:szCs w:val="21"/>
                    </w:rPr>
                    <w:t>建筑物插入损失/dB</w:t>
                  </w:r>
                  <w:r>
                    <w:rPr>
                      <w:rFonts w:hint="eastAsia" w:ascii="Times New Roman" w:hAnsi="Times New Roman" w:cs="Times New Roman"/>
                      <w:sz w:val="21"/>
                      <w:szCs w:val="21"/>
                      <w:lang w:eastAsia="zh-CN"/>
                    </w:rPr>
                    <w:t>（</w:t>
                  </w:r>
                  <w:r>
                    <w:rPr>
                      <w:rFonts w:ascii="Times New Roman" w:hAnsi="Times New Roman" w:cs="Times New Roman"/>
                      <w:sz w:val="21"/>
                      <w:szCs w:val="21"/>
                    </w:rPr>
                    <w:t>A</w:t>
                  </w:r>
                  <w:r>
                    <w:rPr>
                      <w:rFonts w:hint="eastAsia" w:ascii="Times New Roman" w:hAnsi="Times New Roman" w:cs="Times New Roman"/>
                      <w:sz w:val="21"/>
                      <w:szCs w:val="21"/>
                      <w:lang w:eastAsia="zh-CN"/>
                    </w:rPr>
                    <w:t>）</w:t>
                  </w:r>
                </w:p>
              </w:tc>
              <w:tc>
                <w:tcPr>
                  <w:tcW w:w="670" w:type="pct"/>
                  <w:gridSpan w:val="2"/>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8" w:type="pct"/>
                  <w:vMerge w:val="continue"/>
                  <w:vAlign w:val="center"/>
                </w:tcPr>
                <w:p>
                  <w:pPr>
                    <w:pStyle w:val="54"/>
                    <w:jc w:val="center"/>
                    <w:rPr>
                      <w:rFonts w:ascii="Times New Roman" w:hAnsi="Times New Roman" w:cs="Times New Roman"/>
                      <w:sz w:val="21"/>
                      <w:szCs w:val="21"/>
                    </w:rPr>
                  </w:pPr>
                </w:p>
              </w:tc>
              <w:tc>
                <w:tcPr>
                  <w:tcW w:w="428" w:type="pct"/>
                  <w:vMerge w:val="continue"/>
                  <w:vAlign w:val="center"/>
                </w:tcPr>
                <w:p>
                  <w:pPr>
                    <w:pStyle w:val="54"/>
                    <w:jc w:val="center"/>
                    <w:rPr>
                      <w:rFonts w:ascii="Times New Roman" w:hAnsi="Times New Roman" w:cs="Times New Roman"/>
                      <w:sz w:val="21"/>
                      <w:szCs w:val="21"/>
                    </w:rPr>
                  </w:pPr>
                </w:p>
              </w:tc>
              <w:tc>
                <w:tcPr>
                  <w:tcW w:w="580" w:type="pct"/>
                  <w:vMerge w:val="continue"/>
                  <w:vAlign w:val="center"/>
                </w:tcPr>
                <w:p>
                  <w:pPr>
                    <w:pStyle w:val="54"/>
                    <w:jc w:val="center"/>
                    <w:rPr>
                      <w:rFonts w:ascii="Times New Roman" w:hAnsi="Times New Roman" w:cs="Times New Roman"/>
                      <w:sz w:val="21"/>
                      <w:szCs w:val="21"/>
                    </w:rPr>
                  </w:pPr>
                </w:p>
              </w:tc>
              <w:tc>
                <w:tcPr>
                  <w:tcW w:w="259" w:type="pct"/>
                  <w:vMerge w:val="continue"/>
                  <w:vAlign w:val="center"/>
                </w:tcPr>
                <w:p>
                  <w:pPr>
                    <w:autoSpaceDE w:val="0"/>
                    <w:autoSpaceDN w:val="0"/>
                    <w:spacing w:line="240" w:lineRule="auto"/>
                    <w:jc w:val="center"/>
                    <w:rPr>
                      <w:rFonts w:eastAsia="宋体"/>
                      <w:sz w:val="21"/>
                      <w:szCs w:val="21"/>
                    </w:rPr>
                  </w:pPr>
                </w:p>
              </w:tc>
              <w:tc>
                <w:tcPr>
                  <w:tcW w:w="325" w:type="pct"/>
                  <w:vMerge w:val="continue"/>
                  <w:vAlign w:val="center"/>
                </w:tcPr>
                <w:p>
                  <w:pPr>
                    <w:autoSpaceDE w:val="0"/>
                    <w:autoSpaceDN w:val="0"/>
                    <w:spacing w:line="240" w:lineRule="auto"/>
                    <w:jc w:val="center"/>
                    <w:rPr>
                      <w:rFonts w:eastAsia="宋体"/>
                      <w:sz w:val="21"/>
                      <w:szCs w:val="21"/>
                    </w:rPr>
                  </w:pPr>
                </w:p>
              </w:tc>
              <w:tc>
                <w:tcPr>
                  <w:tcW w:w="284" w:type="pct"/>
                  <w:vMerge w:val="continue"/>
                  <w:vAlign w:val="center"/>
                </w:tcPr>
                <w:p>
                  <w:pPr>
                    <w:autoSpaceDE w:val="0"/>
                    <w:autoSpaceDN w:val="0"/>
                    <w:spacing w:line="240" w:lineRule="auto"/>
                    <w:jc w:val="center"/>
                    <w:rPr>
                      <w:rFonts w:eastAsia="宋体"/>
                      <w:sz w:val="21"/>
                      <w:szCs w:val="21"/>
                    </w:rPr>
                  </w:pPr>
                </w:p>
              </w:tc>
              <w:tc>
                <w:tcPr>
                  <w:tcW w:w="16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X</w:t>
                  </w:r>
                </w:p>
              </w:tc>
              <w:tc>
                <w:tcPr>
                  <w:tcW w:w="195" w:type="pct"/>
                  <w:vAlign w:val="center"/>
                </w:tcPr>
                <w:p>
                  <w:pPr>
                    <w:pStyle w:val="54"/>
                    <w:jc w:val="center"/>
                  </w:pPr>
                  <w:r>
                    <w:rPr>
                      <w:rFonts w:ascii="Times New Roman" w:hAnsi="Times New Roman" w:cs="Times New Roman"/>
                      <w:sz w:val="21"/>
                      <w:szCs w:val="21"/>
                    </w:rPr>
                    <w:t>Y</w:t>
                  </w:r>
                </w:p>
              </w:tc>
              <w:tc>
                <w:tcPr>
                  <w:tcW w:w="180" w:type="pct"/>
                  <w:vAlign w:val="center"/>
                </w:tcPr>
                <w:p>
                  <w:pPr>
                    <w:pStyle w:val="54"/>
                    <w:jc w:val="center"/>
                  </w:pPr>
                  <w:r>
                    <w:rPr>
                      <w:rFonts w:ascii="Times New Roman" w:hAnsi="Times New Roman" w:cs="Times New Roman"/>
                      <w:sz w:val="21"/>
                      <w:szCs w:val="21"/>
                    </w:rPr>
                    <w:t>Z</w:t>
                  </w:r>
                </w:p>
              </w:tc>
              <w:tc>
                <w:tcPr>
                  <w:tcW w:w="345" w:type="pct"/>
                  <w:vMerge w:val="continue"/>
                  <w:vAlign w:val="center"/>
                </w:tcPr>
                <w:p>
                  <w:pPr>
                    <w:autoSpaceDE w:val="0"/>
                    <w:autoSpaceDN w:val="0"/>
                    <w:spacing w:line="240" w:lineRule="auto"/>
                    <w:jc w:val="center"/>
                    <w:rPr>
                      <w:rFonts w:eastAsia="宋体"/>
                      <w:sz w:val="21"/>
                      <w:szCs w:val="21"/>
                    </w:rPr>
                  </w:pPr>
                </w:p>
              </w:tc>
              <w:tc>
                <w:tcPr>
                  <w:tcW w:w="397" w:type="pct"/>
                  <w:vMerge w:val="continue"/>
                  <w:vAlign w:val="center"/>
                </w:tcPr>
                <w:p>
                  <w:pPr>
                    <w:autoSpaceDE w:val="0"/>
                    <w:autoSpaceDN w:val="0"/>
                    <w:spacing w:line="240" w:lineRule="auto"/>
                    <w:jc w:val="center"/>
                    <w:rPr>
                      <w:rFonts w:eastAsia="宋体"/>
                      <w:sz w:val="21"/>
                      <w:szCs w:val="21"/>
                    </w:rPr>
                  </w:pPr>
                </w:p>
              </w:tc>
              <w:tc>
                <w:tcPr>
                  <w:tcW w:w="493" w:type="pct"/>
                  <w:vMerge w:val="continue"/>
                  <w:vAlign w:val="center"/>
                </w:tcPr>
                <w:p>
                  <w:pPr>
                    <w:autoSpaceDE w:val="0"/>
                    <w:autoSpaceDN w:val="0"/>
                    <w:spacing w:line="240" w:lineRule="auto"/>
                    <w:jc w:val="center"/>
                    <w:rPr>
                      <w:rFonts w:eastAsia="宋体"/>
                      <w:sz w:val="21"/>
                      <w:szCs w:val="21"/>
                    </w:rPr>
                  </w:pPr>
                </w:p>
              </w:tc>
              <w:tc>
                <w:tcPr>
                  <w:tcW w:w="383" w:type="pct"/>
                  <w:vMerge w:val="continue"/>
                  <w:vAlign w:val="center"/>
                </w:tcPr>
                <w:p>
                  <w:pPr>
                    <w:autoSpaceDE w:val="0"/>
                    <w:autoSpaceDN w:val="0"/>
                    <w:spacing w:line="240" w:lineRule="auto"/>
                    <w:jc w:val="center"/>
                    <w:rPr>
                      <w:rFonts w:eastAsia="宋体"/>
                      <w:sz w:val="21"/>
                      <w:szCs w:val="21"/>
                    </w:rPr>
                  </w:pPr>
                </w:p>
              </w:tc>
              <w:tc>
                <w:tcPr>
                  <w:tcW w:w="372" w:type="pct"/>
                  <w:vAlign w:val="center"/>
                </w:tcPr>
                <w:p>
                  <w:pPr>
                    <w:pStyle w:val="54"/>
                    <w:jc w:val="center"/>
                    <w:rPr>
                      <w:rFonts w:hint="eastAsia" w:ascii="Times New Roman" w:hAnsi="Times New Roman" w:eastAsia="宋体" w:cs="Times New Roman"/>
                      <w:sz w:val="21"/>
                      <w:szCs w:val="21"/>
                      <w:lang w:eastAsia="zh-CN"/>
                    </w:rPr>
                  </w:pPr>
                  <w:r>
                    <w:rPr>
                      <w:rFonts w:ascii="Times New Roman" w:hAnsi="Times New Roman" w:cs="Times New Roman"/>
                      <w:sz w:val="21"/>
                      <w:szCs w:val="21"/>
                    </w:rPr>
                    <w:t>声压级/dB</w:t>
                  </w:r>
                  <w:r>
                    <w:rPr>
                      <w:rFonts w:hint="eastAsia" w:ascii="Times New Roman" w:hAnsi="Times New Roman" w:cs="Times New Roman"/>
                      <w:sz w:val="21"/>
                      <w:szCs w:val="21"/>
                      <w:lang w:eastAsia="zh-CN"/>
                    </w:rPr>
                    <w:t>（</w:t>
                  </w:r>
                  <w:r>
                    <w:rPr>
                      <w:rFonts w:ascii="Times New Roman" w:hAnsi="Times New Roman" w:cs="Times New Roman"/>
                      <w:sz w:val="21"/>
                      <w:szCs w:val="21"/>
                    </w:rPr>
                    <w:t>A</w:t>
                  </w:r>
                  <w:r>
                    <w:rPr>
                      <w:rFonts w:hint="eastAsia" w:ascii="Times New Roman" w:hAnsi="Times New Roman" w:cs="Times New Roman"/>
                      <w:sz w:val="21"/>
                      <w:szCs w:val="21"/>
                      <w:lang w:eastAsia="zh-CN"/>
                    </w:rPr>
                    <w:t>）</w:t>
                  </w:r>
                </w:p>
              </w:tc>
              <w:tc>
                <w:tcPr>
                  <w:tcW w:w="297" w:type="pct"/>
                  <w:vAlign w:val="center"/>
                </w:tcPr>
                <w:p>
                  <w:pPr>
                    <w:pStyle w:val="54"/>
                    <w:jc w:val="center"/>
                  </w:pPr>
                  <w:r>
                    <w:rPr>
                      <w:rFonts w:ascii="Times New Roman" w:hAnsi="Times New Roman" w:cs="Times New Roman"/>
                      <w:sz w:val="21"/>
                      <w:szCs w:val="21"/>
                    </w:rPr>
                    <w:t>建筑外距离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8"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w:t>
                  </w:r>
                </w:p>
              </w:tc>
              <w:tc>
                <w:tcPr>
                  <w:tcW w:w="428" w:type="pct"/>
                  <w:vMerge w:val="restar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1#教学楼</w:t>
                  </w:r>
                </w:p>
              </w:tc>
              <w:tc>
                <w:tcPr>
                  <w:tcW w:w="580"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w:t>
                  </w:r>
                  <w:r>
                    <w:rPr>
                      <w:rFonts w:hint="eastAsia" w:ascii="Times New Roman" w:hAnsi="Times New Roman" w:cs="Times New Roman"/>
                      <w:sz w:val="21"/>
                      <w:szCs w:val="21"/>
                      <w:lang w:val="en-US" w:eastAsia="zh-CN"/>
                    </w:rPr>
                    <w:t>4</w:t>
                  </w:r>
                  <w:r>
                    <w:rPr>
                      <w:rFonts w:ascii="Times New Roman" w:hAnsi="Times New Roman" w:cs="Times New Roman"/>
                      <w:sz w:val="21"/>
                      <w:szCs w:val="21"/>
                    </w:rPr>
                    <w:t>套电器</w:t>
                  </w:r>
                </w:p>
              </w:tc>
              <w:tc>
                <w:tcPr>
                  <w:tcW w:w="25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32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70</w:t>
                  </w:r>
                </w:p>
              </w:tc>
              <w:tc>
                <w:tcPr>
                  <w:tcW w:w="284" w:type="pct"/>
                  <w:vMerge w:val="restart"/>
                  <w:vAlign w:val="center"/>
                </w:tcPr>
                <w:p>
                  <w:pPr>
                    <w:pStyle w:val="54"/>
                    <w:jc w:val="center"/>
                    <w:rPr>
                      <w:rFonts w:ascii="Times New Roman" w:hAnsi="Times New Roman" w:cs="Times New Roman"/>
                      <w:sz w:val="21"/>
                      <w:szCs w:val="21"/>
                      <w:lang w:eastAsia="zh-CN"/>
                    </w:rPr>
                  </w:pPr>
                  <w:r>
                    <w:rPr>
                      <w:rFonts w:hint="eastAsia"/>
                      <w:sz w:val="21"/>
                      <w:szCs w:val="21"/>
                      <w:lang w:eastAsia="zh-CN"/>
                    </w:rPr>
                    <w:t>减振、降噪设备基础防振措施</w:t>
                  </w:r>
                </w:p>
              </w:tc>
              <w:tc>
                <w:tcPr>
                  <w:tcW w:w="16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195" w:type="pct"/>
                  <w:vAlign w:val="center"/>
                </w:tcPr>
                <w:p>
                  <w:pPr>
                    <w:pStyle w:val="54"/>
                    <w:jc w:val="center"/>
                  </w:pPr>
                  <w:r>
                    <w:rPr>
                      <w:rFonts w:ascii="Times New Roman" w:hAnsi="Times New Roman" w:cs="Times New Roman"/>
                      <w:sz w:val="21"/>
                      <w:szCs w:val="21"/>
                    </w:rPr>
                    <w:t>/</w:t>
                  </w:r>
                </w:p>
              </w:tc>
              <w:tc>
                <w:tcPr>
                  <w:tcW w:w="180" w:type="pct"/>
                  <w:vAlign w:val="center"/>
                </w:tcPr>
                <w:p>
                  <w:pPr>
                    <w:pStyle w:val="54"/>
                    <w:jc w:val="center"/>
                  </w:pPr>
                  <w:r>
                    <w:rPr>
                      <w:rFonts w:ascii="Times New Roman" w:hAnsi="Times New Roman" w:cs="Times New Roman"/>
                      <w:sz w:val="21"/>
                      <w:szCs w:val="21"/>
                    </w:rPr>
                    <w:t>/</w:t>
                  </w:r>
                </w:p>
              </w:tc>
              <w:tc>
                <w:tcPr>
                  <w:tcW w:w="34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w:t>
                  </w:r>
                </w:p>
              </w:tc>
              <w:tc>
                <w:tcPr>
                  <w:tcW w:w="397"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70.0</w:t>
                  </w:r>
                </w:p>
              </w:tc>
              <w:tc>
                <w:tcPr>
                  <w:tcW w:w="493" w:type="pct"/>
                  <w:vMerge w:val="restar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6</w:t>
                  </w:r>
                  <w:r>
                    <w:rPr>
                      <w:rFonts w:hint="eastAsia" w:ascii="Times New Roman" w:hAnsi="Times New Roman" w:cs="Times New Roman"/>
                      <w:sz w:val="21"/>
                      <w:szCs w:val="21"/>
                      <w:lang w:eastAsia="zh-CN"/>
                    </w:rPr>
                    <w:t>：</w:t>
                  </w:r>
                  <w:r>
                    <w:rPr>
                      <w:rFonts w:ascii="Times New Roman" w:hAnsi="Times New Roman" w:cs="Times New Roman"/>
                      <w:sz w:val="21"/>
                      <w:szCs w:val="21"/>
                    </w:rPr>
                    <w:t>00~22</w:t>
                  </w:r>
                  <w:r>
                    <w:rPr>
                      <w:rFonts w:hint="eastAsia" w:ascii="Times New Roman" w:hAnsi="Times New Roman" w:cs="Times New Roman"/>
                      <w:sz w:val="21"/>
                      <w:szCs w:val="21"/>
                      <w:lang w:eastAsia="zh-CN"/>
                    </w:rPr>
                    <w:t>：</w:t>
                  </w:r>
                  <w:r>
                    <w:rPr>
                      <w:rFonts w:ascii="Times New Roman" w:hAnsi="Times New Roman" w:cs="Times New Roman"/>
                      <w:sz w:val="21"/>
                      <w:szCs w:val="21"/>
                    </w:rPr>
                    <w:t>00</w:t>
                  </w:r>
                </w:p>
              </w:tc>
              <w:tc>
                <w:tcPr>
                  <w:tcW w:w="383"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w:t>
                  </w:r>
                </w:p>
              </w:tc>
              <w:tc>
                <w:tcPr>
                  <w:tcW w:w="372"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50.0</w:t>
                  </w:r>
                </w:p>
              </w:tc>
              <w:tc>
                <w:tcPr>
                  <w:tcW w:w="297" w:type="pct"/>
                  <w:vAlign w:val="center"/>
                </w:tcPr>
                <w:p>
                  <w:pPr>
                    <w:pStyle w:val="54"/>
                    <w:jc w:val="center"/>
                  </w:pPr>
                  <w:r>
                    <w:rPr>
                      <w:rFonts w:ascii="Times New Roman" w:hAnsi="Times New Roman" w:cs="Times New Roman"/>
                      <w:sz w:val="21"/>
                      <w:szCs w:val="21"/>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8"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w:t>
                  </w:r>
                </w:p>
              </w:tc>
              <w:tc>
                <w:tcPr>
                  <w:tcW w:w="428" w:type="pct"/>
                  <w:vMerge w:val="continue"/>
                  <w:vAlign w:val="center"/>
                </w:tcPr>
                <w:p>
                  <w:pPr>
                    <w:autoSpaceDE w:val="0"/>
                    <w:autoSpaceDN w:val="0"/>
                    <w:spacing w:line="240" w:lineRule="auto"/>
                    <w:jc w:val="center"/>
                    <w:rPr>
                      <w:rFonts w:eastAsia="宋体"/>
                      <w:sz w:val="21"/>
                      <w:szCs w:val="21"/>
                    </w:rPr>
                  </w:pPr>
                </w:p>
              </w:tc>
              <w:tc>
                <w:tcPr>
                  <w:tcW w:w="580"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w:t>
                  </w:r>
                  <w:r>
                    <w:rPr>
                      <w:rFonts w:hint="eastAsia" w:ascii="Times New Roman" w:hAnsi="Times New Roman" w:cs="Times New Roman"/>
                      <w:sz w:val="21"/>
                      <w:szCs w:val="21"/>
                      <w:lang w:val="en-US" w:eastAsia="zh-CN"/>
                    </w:rPr>
                    <w:t>4</w:t>
                  </w:r>
                  <w:r>
                    <w:rPr>
                      <w:rFonts w:ascii="Times New Roman" w:hAnsi="Times New Roman" w:cs="Times New Roman"/>
                      <w:sz w:val="21"/>
                      <w:szCs w:val="21"/>
                    </w:rPr>
                    <w:t>套音响设备</w:t>
                  </w:r>
                </w:p>
              </w:tc>
              <w:tc>
                <w:tcPr>
                  <w:tcW w:w="25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32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85</w:t>
                  </w:r>
                </w:p>
              </w:tc>
              <w:tc>
                <w:tcPr>
                  <w:tcW w:w="284" w:type="pct"/>
                  <w:vMerge w:val="continue"/>
                  <w:vAlign w:val="center"/>
                </w:tcPr>
                <w:p>
                  <w:pPr>
                    <w:autoSpaceDE w:val="0"/>
                    <w:autoSpaceDN w:val="0"/>
                    <w:spacing w:line="240" w:lineRule="auto"/>
                    <w:jc w:val="center"/>
                    <w:rPr>
                      <w:rFonts w:eastAsia="宋体"/>
                      <w:sz w:val="21"/>
                      <w:szCs w:val="21"/>
                    </w:rPr>
                  </w:pPr>
                </w:p>
              </w:tc>
              <w:tc>
                <w:tcPr>
                  <w:tcW w:w="16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195" w:type="pct"/>
                  <w:vAlign w:val="center"/>
                </w:tcPr>
                <w:p>
                  <w:pPr>
                    <w:pStyle w:val="54"/>
                    <w:jc w:val="center"/>
                  </w:pPr>
                  <w:r>
                    <w:rPr>
                      <w:rFonts w:ascii="Times New Roman" w:hAnsi="Times New Roman" w:cs="Times New Roman"/>
                      <w:sz w:val="21"/>
                      <w:szCs w:val="21"/>
                    </w:rPr>
                    <w:t>/</w:t>
                  </w:r>
                </w:p>
              </w:tc>
              <w:tc>
                <w:tcPr>
                  <w:tcW w:w="180" w:type="pct"/>
                  <w:vAlign w:val="center"/>
                </w:tcPr>
                <w:p>
                  <w:pPr>
                    <w:pStyle w:val="54"/>
                    <w:jc w:val="center"/>
                  </w:pPr>
                  <w:r>
                    <w:rPr>
                      <w:rFonts w:ascii="Times New Roman" w:hAnsi="Times New Roman" w:cs="Times New Roman"/>
                      <w:sz w:val="21"/>
                      <w:szCs w:val="21"/>
                    </w:rPr>
                    <w:t>/</w:t>
                  </w:r>
                </w:p>
              </w:tc>
              <w:tc>
                <w:tcPr>
                  <w:tcW w:w="34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w:t>
                  </w:r>
                </w:p>
              </w:tc>
              <w:tc>
                <w:tcPr>
                  <w:tcW w:w="397"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85.0</w:t>
                  </w:r>
                </w:p>
              </w:tc>
              <w:tc>
                <w:tcPr>
                  <w:tcW w:w="493" w:type="pct"/>
                  <w:vMerge w:val="continue"/>
                  <w:vAlign w:val="center"/>
                </w:tcPr>
                <w:p>
                  <w:pPr>
                    <w:pStyle w:val="54"/>
                    <w:jc w:val="center"/>
                    <w:rPr>
                      <w:rFonts w:ascii="Times New Roman" w:hAnsi="Times New Roman" w:cs="Times New Roman"/>
                      <w:sz w:val="21"/>
                      <w:szCs w:val="21"/>
                    </w:rPr>
                  </w:pPr>
                </w:p>
              </w:tc>
              <w:tc>
                <w:tcPr>
                  <w:tcW w:w="383"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w:t>
                  </w:r>
                </w:p>
              </w:tc>
              <w:tc>
                <w:tcPr>
                  <w:tcW w:w="372"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65.0</w:t>
                  </w:r>
                </w:p>
              </w:tc>
              <w:tc>
                <w:tcPr>
                  <w:tcW w:w="297" w:type="pct"/>
                  <w:vAlign w:val="center"/>
                </w:tcPr>
                <w:p>
                  <w:pPr>
                    <w:pStyle w:val="54"/>
                    <w:jc w:val="center"/>
                  </w:pPr>
                  <w:r>
                    <w:rPr>
                      <w:rFonts w:ascii="Times New Roman" w:hAnsi="Times New Roman" w:cs="Times New Roman"/>
                      <w:sz w:val="21"/>
                      <w:szCs w:val="21"/>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8"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3</w:t>
                  </w:r>
                </w:p>
              </w:tc>
              <w:tc>
                <w:tcPr>
                  <w:tcW w:w="428" w:type="pct"/>
                  <w:vMerge w:val="continue"/>
                  <w:vAlign w:val="center"/>
                </w:tcPr>
                <w:p>
                  <w:pPr>
                    <w:autoSpaceDE w:val="0"/>
                    <w:autoSpaceDN w:val="0"/>
                    <w:spacing w:line="240" w:lineRule="auto"/>
                    <w:jc w:val="center"/>
                    <w:rPr>
                      <w:rFonts w:eastAsia="宋体"/>
                      <w:sz w:val="21"/>
                      <w:szCs w:val="21"/>
                    </w:rPr>
                  </w:pPr>
                </w:p>
              </w:tc>
              <w:tc>
                <w:tcPr>
                  <w:tcW w:w="580"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室内活动噪声</w:t>
                  </w:r>
                </w:p>
              </w:tc>
              <w:tc>
                <w:tcPr>
                  <w:tcW w:w="25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32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70</w:t>
                  </w:r>
                </w:p>
              </w:tc>
              <w:tc>
                <w:tcPr>
                  <w:tcW w:w="284" w:type="pct"/>
                  <w:vMerge w:val="continue"/>
                  <w:vAlign w:val="center"/>
                </w:tcPr>
                <w:p>
                  <w:pPr>
                    <w:autoSpaceDE w:val="0"/>
                    <w:autoSpaceDN w:val="0"/>
                    <w:spacing w:line="240" w:lineRule="auto"/>
                    <w:jc w:val="center"/>
                    <w:rPr>
                      <w:rFonts w:eastAsia="宋体"/>
                      <w:sz w:val="21"/>
                      <w:szCs w:val="21"/>
                    </w:rPr>
                  </w:pPr>
                </w:p>
              </w:tc>
              <w:tc>
                <w:tcPr>
                  <w:tcW w:w="16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195" w:type="pct"/>
                  <w:vAlign w:val="center"/>
                </w:tcPr>
                <w:p>
                  <w:pPr>
                    <w:pStyle w:val="54"/>
                    <w:jc w:val="center"/>
                  </w:pPr>
                  <w:r>
                    <w:rPr>
                      <w:rFonts w:ascii="Times New Roman" w:hAnsi="Times New Roman" w:cs="Times New Roman"/>
                      <w:sz w:val="21"/>
                      <w:szCs w:val="21"/>
                    </w:rPr>
                    <w:t>/</w:t>
                  </w:r>
                </w:p>
              </w:tc>
              <w:tc>
                <w:tcPr>
                  <w:tcW w:w="180" w:type="pct"/>
                  <w:vAlign w:val="center"/>
                </w:tcPr>
                <w:p>
                  <w:pPr>
                    <w:pStyle w:val="54"/>
                    <w:jc w:val="center"/>
                  </w:pPr>
                  <w:r>
                    <w:rPr>
                      <w:rFonts w:ascii="Times New Roman" w:hAnsi="Times New Roman" w:cs="Times New Roman"/>
                      <w:sz w:val="21"/>
                      <w:szCs w:val="21"/>
                    </w:rPr>
                    <w:t>/</w:t>
                  </w:r>
                </w:p>
              </w:tc>
              <w:tc>
                <w:tcPr>
                  <w:tcW w:w="34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w:t>
                  </w:r>
                </w:p>
              </w:tc>
              <w:tc>
                <w:tcPr>
                  <w:tcW w:w="397"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70.0</w:t>
                  </w:r>
                </w:p>
              </w:tc>
              <w:tc>
                <w:tcPr>
                  <w:tcW w:w="493" w:type="pct"/>
                  <w:vMerge w:val="continue"/>
                  <w:vAlign w:val="center"/>
                </w:tcPr>
                <w:p>
                  <w:pPr>
                    <w:pStyle w:val="54"/>
                    <w:jc w:val="center"/>
                    <w:rPr>
                      <w:rFonts w:ascii="Times New Roman" w:hAnsi="Times New Roman" w:cs="Times New Roman"/>
                      <w:sz w:val="21"/>
                      <w:szCs w:val="21"/>
                    </w:rPr>
                  </w:pPr>
                </w:p>
              </w:tc>
              <w:tc>
                <w:tcPr>
                  <w:tcW w:w="383"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w:t>
                  </w:r>
                </w:p>
              </w:tc>
              <w:tc>
                <w:tcPr>
                  <w:tcW w:w="372"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50.0</w:t>
                  </w:r>
                </w:p>
              </w:tc>
              <w:tc>
                <w:tcPr>
                  <w:tcW w:w="297" w:type="pct"/>
                  <w:vAlign w:val="center"/>
                </w:tcPr>
                <w:p>
                  <w:pPr>
                    <w:pStyle w:val="54"/>
                    <w:jc w:val="center"/>
                  </w:pPr>
                  <w:r>
                    <w:rPr>
                      <w:rFonts w:ascii="Times New Roman" w:hAnsi="Times New Roman" w:cs="Times New Roman"/>
                      <w:sz w:val="21"/>
                      <w:szCs w:val="21"/>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8"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4</w:t>
                  </w:r>
                </w:p>
              </w:tc>
              <w:tc>
                <w:tcPr>
                  <w:tcW w:w="428" w:type="pct"/>
                  <w:vMerge w:val="restar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2#综合楼</w:t>
                  </w:r>
                </w:p>
              </w:tc>
              <w:tc>
                <w:tcPr>
                  <w:tcW w:w="580"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10套电器</w:t>
                  </w:r>
                </w:p>
              </w:tc>
              <w:tc>
                <w:tcPr>
                  <w:tcW w:w="25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32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70</w:t>
                  </w:r>
                </w:p>
              </w:tc>
              <w:tc>
                <w:tcPr>
                  <w:tcW w:w="284" w:type="pct"/>
                  <w:vMerge w:val="continue"/>
                  <w:vAlign w:val="center"/>
                </w:tcPr>
                <w:p>
                  <w:pPr>
                    <w:pStyle w:val="54"/>
                    <w:jc w:val="center"/>
                    <w:rPr>
                      <w:rFonts w:ascii="Times New Roman" w:hAnsi="Times New Roman" w:cs="Times New Roman"/>
                      <w:sz w:val="21"/>
                      <w:szCs w:val="21"/>
                    </w:rPr>
                  </w:pPr>
                </w:p>
              </w:tc>
              <w:tc>
                <w:tcPr>
                  <w:tcW w:w="16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195" w:type="pct"/>
                  <w:vAlign w:val="center"/>
                </w:tcPr>
                <w:p>
                  <w:pPr>
                    <w:pStyle w:val="54"/>
                    <w:jc w:val="center"/>
                  </w:pPr>
                  <w:r>
                    <w:rPr>
                      <w:rFonts w:ascii="Times New Roman" w:hAnsi="Times New Roman" w:cs="Times New Roman"/>
                      <w:sz w:val="21"/>
                      <w:szCs w:val="21"/>
                    </w:rPr>
                    <w:t>/</w:t>
                  </w:r>
                </w:p>
              </w:tc>
              <w:tc>
                <w:tcPr>
                  <w:tcW w:w="180" w:type="pct"/>
                  <w:vAlign w:val="center"/>
                </w:tcPr>
                <w:p>
                  <w:pPr>
                    <w:pStyle w:val="54"/>
                    <w:jc w:val="center"/>
                  </w:pPr>
                  <w:r>
                    <w:rPr>
                      <w:rFonts w:ascii="Times New Roman" w:hAnsi="Times New Roman" w:cs="Times New Roman"/>
                      <w:sz w:val="21"/>
                      <w:szCs w:val="21"/>
                    </w:rPr>
                    <w:t>/</w:t>
                  </w:r>
                </w:p>
              </w:tc>
              <w:tc>
                <w:tcPr>
                  <w:tcW w:w="34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w:t>
                  </w:r>
                </w:p>
              </w:tc>
              <w:tc>
                <w:tcPr>
                  <w:tcW w:w="397"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70.0</w:t>
                  </w:r>
                </w:p>
              </w:tc>
              <w:tc>
                <w:tcPr>
                  <w:tcW w:w="493" w:type="pct"/>
                  <w:vMerge w:val="restar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6</w:t>
                  </w:r>
                  <w:r>
                    <w:rPr>
                      <w:rFonts w:hint="eastAsia" w:ascii="Times New Roman" w:hAnsi="Times New Roman" w:cs="Times New Roman"/>
                      <w:sz w:val="21"/>
                      <w:szCs w:val="21"/>
                      <w:lang w:eastAsia="zh-CN"/>
                    </w:rPr>
                    <w:t>：</w:t>
                  </w:r>
                  <w:r>
                    <w:rPr>
                      <w:rFonts w:ascii="Times New Roman" w:hAnsi="Times New Roman" w:cs="Times New Roman"/>
                      <w:sz w:val="21"/>
                      <w:szCs w:val="21"/>
                    </w:rPr>
                    <w:t>00~22</w:t>
                  </w:r>
                  <w:r>
                    <w:rPr>
                      <w:rFonts w:hint="eastAsia" w:ascii="Times New Roman" w:hAnsi="Times New Roman" w:cs="Times New Roman"/>
                      <w:sz w:val="21"/>
                      <w:szCs w:val="21"/>
                      <w:lang w:eastAsia="zh-CN"/>
                    </w:rPr>
                    <w:t>：</w:t>
                  </w:r>
                  <w:r>
                    <w:rPr>
                      <w:rFonts w:ascii="Times New Roman" w:hAnsi="Times New Roman" w:cs="Times New Roman"/>
                      <w:sz w:val="21"/>
                      <w:szCs w:val="21"/>
                    </w:rPr>
                    <w:t>00</w:t>
                  </w:r>
                </w:p>
              </w:tc>
              <w:tc>
                <w:tcPr>
                  <w:tcW w:w="383"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w:t>
                  </w:r>
                </w:p>
              </w:tc>
              <w:tc>
                <w:tcPr>
                  <w:tcW w:w="372"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50.0</w:t>
                  </w:r>
                </w:p>
              </w:tc>
              <w:tc>
                <w:tcPr>
                  <w:tcW w:w="297" w:type="pct"/>
                  <w:vAlign w:val="center"/>
                </w:tcPr>
                <w:p>
                  <w:pPr>
                    <w:pStyle w:val="54"/>
                    <w:jc w:val="center"/>
                  </w:pPr>
                  <w:r>
                    <w:rPr>
                      <w:rFonts w:ascii="Times New Roman" w:hAnsi="Times New Roman" w:cs="Times New Roman"/>
                      <w:sz w:val="21"/>
                      <w:szCs w:val="21"/>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8"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w:t>
                  </w:r>
                </w:p>
              </w:tc>
              <w:tc>
                <w:tcPr>
                  <w:tcW w:w="428" w:type="pct"/>
                  <w:vMerge w:val="continue"/>
                  <w:vAlign w:val="center"/>
                </w:tcPr>
                <w:p>
                  <w:pPr>
                    <w:autoSpaceDE w:val="0"/>
                    <w:autoSpaceDN w:val="0"/>
                    <w:spacing w:line="240" w:lineRule="auto"/>
                    <w:jc w:val="center"/>
                    <w:rPr>
                      <w:rFonts w:eastAsia="宋体"/>
                      <w:sz w:val="21"/>
                      <w:szCs w:val="21"/>
                    </w:rPr>
                  </w:pPr>
                </w:p>
              </w:tc>
              <w:tc>
                <w:tcPr>
                  <w:tcW w:w="580"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10套音响设备</w:t>
                  </w:r>
                </w:p>
              </w:tc>
              <w:tc>
                <w:tcPr>
                  <w:tcW w:w="25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32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85</w:t>
                  </w:r>
                </w:p>
              </w:tc>
              <w:tc>
                <w:tcPr>
                  <w:tcW w:w="284" w:type="pct"/>
                  <w:vMerge w:val="continue"/>
                  <w:vAlign w:val="center"/>
                </w:tcPr>
                <w:p>
                  <w:pPr>
                    <w:autoSpaceDE w:val="0"/>
                    <w:autoSpaceDN w:val="0"/>
                    <w:spacing w:line="240" w:lineRule="auto"/>
                    <w:jc w:val="center"/>
                    <w:rPr>
                      <w:rFonts w:eastAsia="宋体"/>
                      <w:sz w:val="21"/>
                      <w:szCs w:val="21"/>
                    </w:rPr>
                  </w:pPr>
                </w:p>
              </w:tc>
              <w:tc>
                <w:tcPr>
                  <w:tcW w:w="16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195" w:type="pct"/>
                  <w:vAlign w:val="center"/>
                </w:tcPr>
                <w:p>
                  <w:pPr>
                    <w:pStyle w:val="54"/>
                    <w:jc w:val="center"/>
                  </w:pPr>
                  <w:r>
                    <w:rPr>
                      <w:rFonts w:ascii="Times New Roman" w:hAnsi="Times New Roman" w:cs="Times New Roman"/>
                      <w:sz w:val="21"/>
                      <w:szCs w:val="21"/>
                    </w:rPr>
                    <w:t>/</w:t>
                  </w:r>
                </w:p>
              </w:tc>
              <w:tc>
                <w:tcPr>
                  <w:tcW w:w="180" w:type="pct"/>
                  <w:vAlign w:val="center"/>
                </w:tcPr>
                <w:p>
                  <w:pPr>
                    <w:pStyle w:val="54"/>
                    <w:jc w:val="center"/>
                  </w:pPr>
                  <w:r>
                    <w:rPr>
                      <w:rFonts w:ascii="Times New Roman" w:hAnsi="Times New Roman" w:cs="Times New Roman"/>
                      <w:sz w:val="21"/>
                      <w:szCs w:val="21"/>
                    </w:rPr>
                    <w:t>/</w:t>
                  </w:r>
                </w:p>
              </w:tc>
              <w:tc>
                <w:tcPr>
                  <w:tcW w:w="34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w:t>
                  </w:r>
                </w:p>
              </w:tc>
              <w:tc>
                <w:tcPr>
                  <w:tcW w:w="397"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85.0</w:t>
                  </w:r>
                </w:p>
              </w:tc>
              <w:tc>
                <w:tcPr>
                  <w:tcW w:w="493" w:type="pct"/>
                  <w:vMerge w:val="continue"/>
                  <w:vAlign w:val="center"/>
                </w:tcPr>
                <w:p>
                  <w:pPr>
                    <w:autoSpaceDE w:val="0"/>
                    <w:autoSpaceDN w:val="0"/>
                    <w:spacing w:line="240" w:lineRule="auto"/>
                    <w:jc w:val="center"/>
                    <w:rPr>
                      <w:rFonts w:eastAsia="宋体"/>
                      <w:sz w:val="21"/>
                      <w:szCs w:val="21"/>
                    </w:rPr>
                  </w:pPr>
                </w:p>
              </w:tc>
              <w:tc>
                <w:tcPr>
                  <w:tcW w:w="383"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w:t>
                  </w:r>
                </w:p>
              </w:tc>
              <w:tc>
                <w:tcPr>
                  <w:tcW w:w="372"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65.0</w:t>
                  </w:r>
                </w:p>
              </w:tc>
              <w:tc>
                <w:tcPr>
                  <w:tcW w:w="297" w:type="pct"/>
                  <w:vAlign w:val="center"/>
                </w:tcPr>
                <w:p>
                  <w:pPr>
                    <w:pStyle w:val="54"/>
                    <w:jc w:val="center"/>
                  </w:pPr>
                  <w:r>
                    <w:rPr>
                      <w:rFonts w:ascii="Times New Roman" w:hAnsi="Times New Roman" w:cs="Times New Roman"/>
                      <w:sz w:val="21"/>
                      <w:szCs w:val="21"/>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8"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6</w:t>
                  </w:r>
                </w:p>
              </w:tc>
              <w:tc>
                <w:tcPr>
                  <w:tcW w:w="428" w:type="pct"/>
                  <w:vMerge w:val="continue"/>
                  <w:vAlign w:val="center"/>
                </w:tcPr>
                <w:p>
                  <w:pPr>
                    <w:autoSpaceDE w:val="0"/>
                    <w:autoSpaceDN w:val="0"/>
                    <w:spacing w:line="240" w:lineRule="auto"/>
                    <w:jc w:val="center"/>
                    <w:rPr>
                      <w:rFonts w:eastAsia="宋体"/>
                      <w:sz w:val="21"/>
                      <w:szCs w:val="21"/>
                    </w:rPr>
                  </w:pPr>
                </w:p>
              </w:tc>
              <w:tc>
                <w:tcPr>
                  <w:tcW w:w="580"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室内活动噪声</w:t>
                  </w:r>
                </w:p>
              </w:tc>
              <w:tc>
                <w:tcPr>
                  <w:tcW w:w="25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32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70</w:t>
                  </w:r>
                </w:p>
              </w:tc>
              <w:tc>
                <w:tcPr>
                  <w:tcW w:w="284" w:type="pct"/>
                  <w:vMerge w:val="continue"/>
                  <w:vAlign w:val="center"/>
                </w:tcPr>
                <w:p>
                  <w:pPr>
                    <w:autoSpaceDE w:val="0"/>
                    <w:autoSpaceDN w:val="0"/>
                    <w:spacing w:line="240" w:lineRule="auto"/>
                    <w:jc w:val="center"/>
                    <w:rPr>
                      <w:rFonts w:eastAsia="宋体"/>
                      <w:sz w:val="21"/>
                      <w:szCs w:val="21"/>
                    </w:rPr>
                  </w:pPr>
                </w:p>
              </w:tc>
              <w:tc>
                <w:tcPr>
                  <w:tcW w:w="16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195" w:type="pct"/>
                  <w:vAlign w:val="center"/>
                </w:tcPr>
                <w:p>
                  <w:pPr>
                    <w:pStyle w:val="54"/>
                    <w:jc w:val="center"/>
                  </w:pPr>
                  <w:r>
                    <w:rPr>
                      <w:rFonts w:ascii="Times New Roman" w:hAnsi="Times New Roman" w:cs="Times New Roman"/>
                      <w:sz w:val="21"/>
                      <w:szCs w:val="21"/>
                    </w:rPr>
                    <w:t>/</w:t>
                  </w:r>
                </w:p>
              </w:tc>
              <w:tc>
                <w:tcPr>
                  <w:tcW w:w="180" w:type="pct"/>
                  <w:vAlign w:val="center"/>
                </w:tcPr>
                <w:p>
                  <w:pPr>
                    <w:pStyle w:val="54"/>
                    <w:jc w:val="center"/>
                  </w:pPr>
                  <w:r>
                    <w:rPr>
                      <w:rFonts w:ascii="Times New Roman" w:hAnsi="Times New Roman" w:cs="Times New Roman"/>
                      <w:sz w:val="21"/>
                      <w:szCs w:val="21"/>
                    </w:rPr>
                    <w:t>/</w:t>
                  </w:r>
                </w:p>
              </w:tc>
              <w:tc>
                <w:tcPr>
                  <w:tcW w:w="34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w:t>
                  </w:r>
                </w:p>
              </w:tc>
              <w:tc>
                <w:tcPr>
                  <w:tcW w:w="397"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70.0</w:t>
                  </w:r>
                </w:p>
              </w:tc>
              <w:tc>
                <w:tcPr>
                  <w:tcW w:w="493" w:type="pct"/>
                  <w:vMerge w:val="continue"/>
                  <w:vAlign w:val="center"/>
                </w:tcPr>
                <w:p>
                  <w:pPr>
                    <w:autoSpaceDE w:val="0"/>
                    <w:autoSpaceDN w:val="0"/>
                    <w:spacing w:line="240" w:lineRule="auto"/>
                    <w:jc w:val="center"/>
                    <w:rPr>
                      <w:rFonts w:eastAsia="宋体"/>
                      <w:sz w:val="21"/>
                      <w:szCs w:val="21"/>
                    </w:rPr>
                  </w:pPr>
                </w:p>
              </w:tc>
              <w:tc>
                <w:tcPr>
                  <w:tcW w:w="383"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w:t>
                  </w:r>
                </w:p>
              </w:tc>
              <w:tc>
                <w:tcPr>
                  <w:tcW w:w="372"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50.0</w:t>
                  </w:r>
                </w:p>
              </w:tc>
              <w:tc>
                <w:tcPr>
                  <w:tcW w:w="297" w:type="pct"/>
                  <w:vAlign w:val="center"/>
                </w:tcPr>
                <w:p>
                  <w:pPr>
                    <w:pStyle w:val="54"/>
                    <w:jc w:val="center"/>
                  </w:pPr>
                  <w:r>
                    <w:rPr>
                      <w:rFonts w:ascii="Times New Roman" w:hAnsi="Times New Roman" w:cs="Times New Roman"/>
                      <w:sz w:val="21"/>
                      <w:szCs w:val="21"/>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8" w:type="pct"/>
                  <w:vAlign w:val="center"/>
                </w:tcPr>
                <w:p>
                  <w:pPr>
                    <w:pStyle w:val="54"/>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w:t>
                  </w:r>
                </w:p>
              </w:tc>
              <w:tc>
                <w:tcPr>
                  <w:tcW w:w="428" w:type="pct"/>
                  <w:vMerge w:val="continue"/>
                  <w:vAlign w:val="center"/>
                </w:tcPr>
                <w:p>
                  <w:pPr>
                    <w:autoSpaceDE w:val="0"/>
                    <w:autoSpaceDN w:val="0"/>
                    <w:spacing w:line="240" w:lineRule="auto"/>
                    <w:jc w:val="center"/>
                    <w:rPr>
                      <w:rFonts w:eastAsia="宋体"/>
                      <w:sz w:val="21"/>
                      <w:szCs w:val="21"/>
                    </w:rPr>
                  </w:pPr>
                </w:p>
              </w:tc>
              <w:tc>
                <w:tcPr>
                  <w:tcW w:w="580" w:type="pct"/>
                  <w:vAlign w:val="center"/>
                </w:tcPr>
                <w:p>
                  <w:pPr>
                    <w:pStyle w:val="54"/>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3套</w:t>
                  </w:r>
                  <w:r>
                    <w:rPr>
                      <w:rFonts w:hint="eastAsia" w:ascii="Times New Roman" w:hAnsi="Times New Roman" w:eastAsia="宋体" w:cs="Times New Roman"/>
                      <w:sz w:val="21"/>
                      <w:szCs w:val="21"/>
                    </w:rPr>
                    <w:t>空气源热泵机组</w:t>
                  </w:r>
                </w:p>
              </w:tc>
              <w:tc>
                <w:tcPr>
                  <w:tcW w:w="259" w:type="pct"/>
                  <w:vAlign w:val="center"/>
                </w:tcPr>
                <w:p>
                  <w:pPr>
                    <w:pStyle w:val="54"/>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325" w:type="pct"/>
                  <w:vAlign w:val="center"/>
                </w:tcPr>
                <w:p>
                  <w:pPr>
                    <w:pStyle w:val="54"/>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75</w:t>
                  </w:r>
                </w:p>
              </w:tc>
              <w:tc>
                <w:tcPr>
                  <w:tcW w:w="284" w:type="pct"/>
                  <w:vMerge w:val="continue"/>
                  <w:vAlign w:val="center"/>
                </w:tcPr>
                <w:p>
                  <w:pPr>
                    <w:autoSpaceDE w:val="0"/>
                    <w:autoSpaceDN w:val="0"/>
                    <w:spacing w:line="240" w:lineRule="auto"/>
                    <w:jc w:val="center"/>
                    <w:rPr>
                      <w:rFonts w:eastAsia="宋体"/>
                      <w:sz w:val="21"/>
                      <w:szCs w:val="21"/>
                    </w:rPr>
                  </w:pPr>
                </w:p>
              </w:tc>
              <w:tc>
                <w:tcPr>
                  <w:tcW w:w="169" w:type="pct"/>
                  <w:vAlign w:val="center"/>
                </w:tcPr>
                <w:p>
                  <w:pPr>
                    <w:pStyle w:val="54"/>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95" w:type="pct"/>
                  <w:vAlign w:val="center"/>
                </w:tcPr>
                <w:p>
                  <w:pPr>
                    <w:pStyle w:val="54"/>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80" w:type="pct"/>
                  <w:vAlign w:val="center"/>
                </w:tcPr>
                <w:p>
                  <w:pPr>
                    <w:pStyle w:val="54"/>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345" w:type="pct"/>
                  <w:vAlign w:val="center"/>
                </w:tcPr>
                <w:p>
                  <w:pPr>
                    <w:pStyle w:val="54"/>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397" w:type="pct"/>
                  <w:vAlign w:val="center"/>
                </w:tcPr>
                <w:p>
                  <w:pPr>
                    <w:pStyle w:val="54"/>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75.0</w:t>
                  </w:r>
                </w:p>
              </w:tc>
              <w:tc>
                <w:tcPr>
                  <w:tcW w:w="493" w:type="pct"/>
                  <w:vAlign w:val="center"/>
                </w:tcPr>
                <w:p>
                  <w:pPr>
                    <w:autoSpaceDE w:val="0"/>
                    <w:autoSpaceDN w:val="0"/>
                    <w:spacing w:line="240" w:lineRule="auto"/>
                    <w:jc w:val="center"/>
                    <w:rPr>
                      <w:rFonts w:eastAsia="宋体"/>
                      <w:sz w:val="21"/>
                      <w:szCs w:val="21"/>
                    </w:rPr>
                  </w:pPr>
                  <w:r>
                    <w:rPr>
                      <w:rFonts w:ascii="Times New Roman" w:hAnsi="Times New Roman" w:cs="Times New Roman"/>
                      <w:sz w:val="21"/>
                      <w:szCs w:val="21"/>
                    </w:rPr>
                    <w:t>6</w:t>
                  </w:r>
                  <w:r>
                    <w:rPr>
                      <w:rFonts w:hint="eastAsia" w:cs="Times New Roman"/>
                      <w:sz w:val="21"/>
                      <w:szCs w:val="21"/>
                      <w:lang w:eastAsia="zh-CN"/>
                    </w:rPr>
                    <w:t>：</w:t>
                  </w:r>
                  <w:r>
                    <w:rPr>
                      <w:rFonts w:ascii="Times New Roman" w:hAnsi="Times New Roman" w:cs="Times New Roman"/>
                      <w:sz w:val="21"/>
                      <w:szCs w:val="21"/>
                    </w:rPr>
                    <w:t>00~22</w:t>
                  </w:r>
                  <w:r>
                    <w:rPr>
                      <w:rFonts w:hint="eastAsia" w:cs="Times New Roman"/>
                      <w:sz w:val="21"/>
                      <w:szCs w:val="21"/>
                      <w:lang w:eastAsia="zh-CN"/>
                    </w:rPr>
                    <w:t>：</w:t>
                  </w:r>
                  <w:r>
                    <w:rPr>
                      <w:rFonts w:ascii="Times New Roman" w:hAnsi="Times New Roman" w:cs="Times New Roman"/>
                      <w:sz w:val="21"/>
                      <w:szCs w:val="21"/>
                    </w:rPr>
                    <w:t>00</w:t>
                  </w:r>
                </w:p>
              </w:tc>
              <w:tc>
                <w:tcPr>
                  <w:tcW w:w="383" w:type="pct"/>
                  <w:vAlign w:val="center"/>
                </w:tcPr>
                <w:p>
                  <w:pPr>
                    <w:pStyle w:val="54"/>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20</w:t>
                  </w:r>
                </w:p>
              </w:tc>
              <w:tc>
                <w:tcPr>
                  <w:tcW w:w="372" w:type="pct"/>
                  <w:vAlign w:val="center"/>
                </w:tcPr>
                <w:p>
                  <w:pPr>
                    <w:pStyle w:val="54"/>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65.0</w:t>
                  </w:r>
                </w:p>
              </w:tc>
              <w:tc>
                <w:tcPr>
                  <w:tcW w:w="297"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8" w:type="pct"/>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val="en-US" w:eastAsia="zh-CN"/>
                    </w:rPr>
                    <w:t>8</w:t>
                  </w:r>
                </w:p>
              </w:tc>
              <w:tc>
                <w:tcPr>
                  <w:tcW w:w="428" w:type="pct"/>
                  <w:vMerge w:val="restar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4#实验楼</w:t>
                  </w:r>
                </w:p>
              </w:tc>
              <w:tc>
                <w:tcPr>
                  <w:tcW w:w="580" w:type="pct"/>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val="en-US" w:eastAsia="zh-CN"/>
                    </w:rPr>
                    <w:t>3</w:t>
                  </w:r>
                  <w:r>
                    <w:rPr>
                      <w:rFonts w:ascii="Times New Roman" w:hAnsi="Times New Roman" w:cs="Times New Roman"/>
                      <w:sz w:val="21"/>
                      <w:szCs w:val="21"/>
                    </w:rPr>
                    <w:t>套电器</w:t>
                  </w:r>
                </w:p>
              </w:tc>
              <w:tc>
                <w:tcPr>
                  <w:tcW w:w="25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32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70</w:t>
                  </w:r>
                </w:p>
              </w:tc>
              <w:tc>
                <w:tcPr>
                  <w:tcW w:w="284" w:type="pct"/>
                  <w:vMerge w:val="continue"/>
                  <w:vAlign w:val="center"/>
                </w:tcPr>
                <w:p>
                  <w:pPr>
                    <w:pStyle w:val="54"/>
                    <w:jc w:val="center"/>
                    <w:rPr>
                      <w:rFonts w:ascii="Times New Roman" w:hAnsi="Times New Roman" w:cs="Times New Roman"/>
                      <w:sz w:val="21"/>
                      <w:szCs w:val="21"/>
                    </w:rPr>
                  </w:pPr>
                </w:p>
              </w:tc>
              <w:tc>
                <w:tcPr>
                  <w:tcW w:w="16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195" w:type="pct"/>
                  <w:vAlign w:val="center"/>
                </w:tcPr>
                <w:p>
                  <w:pPr>
                    <w:pStyle w:val="54"/>
                    <w:jc w:val="center"/>
                  </w:pPr>
                  <w:r>
                    <w:rPr>
                      <w:rFonts w:ascii="Times New Roman" w:hAnsi="Times New Roman" w:cs="Times New Roman"/>
                      <w:sz w:val="21"/>
                      <w:szCs w:val="21"/>
                    </w:rPr>
                    <w:t>/</w:t>
                  </w:r>
                </w:p>
              </w:tc>
              <w:tc>
                <w:tcPr>
                  <w:tcW w:w="180" w:type="pct"/>
                  <w:vAlign w:val="center"/>
                </w:tcPr>
                <w:p>
                  <w:pPr>
                    <w:pStyle w:val="54"/>
                    <w:jc w:val="center"/>
                  </w:pPr>
                  <w:r>
                    <w:rPr>
                      <w:rFonts w:ascii="Times New Roman" w:hAnsi="Times New Roman" w:cs="Times New Roman"/>
                      <w:sz w:val="21"/>
                      <w:szCs w:val="21"/>
                    </w:rPr>
                    <w:t>/</w:t>
                  </w:r>
                </w:p>
              </w:tc>
              <w:tc>
                <w:tcPr>
                  <w:tcW w:w="34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w:t>
                  </w:r>
                </w:p>
              </w:tc>
              <w:tc>
                <w:tcPr>
                  <w:tcW w:w="397"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70.0</w:t>
                  </w:r>
                </w:p>
              </w:tc>
              <w:tc>
                <w:tcPr>
                  <w:tcW w:w="493" w:type="pct"/>
                  <w:vMerge w:val="restar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6</w:t>
                  </w:r>
                  <w:r>
                    <w:rPr>
                      <w:rFonts w:hint="eastAsia" w:ascii="Times New Roman" w:hAnsi="Times New Roman" w:cs="Times New Roman"/>
                      <w:sz w:val="21"/>
                      <w:szCs w:val="21"/>
                      <w:lang w:eastAsia="zh-CN"/>
                    </w:rPr>
                    <w:t>：</w:t>
                  </w:r>
                  <w:r>
                    <w:rPr>
                      <w:rFonts w:ascii="Times New Roman" w:hAnsi="Times New Roman" w:cs="Times New Roman"/>
                      <w:sz w:val="21"/>
                      <w:szCs w:val="21"/>
                    </w:rPr>
                    <w:t>00~22</w:t>
                  </w:r>
                  <w:r>
                    <w:rPr>
                      <w:rFonts w:hint="eastAsia" w:ascii="Times New Roman" w:hAnsi="Times New Roman" w:cs="Times New Roman"/>
                      <w:sz w:val="21"/>
                      <w:szCs w:val="21"/>
                      <w:lang w:eastAsia="zh-CN"/>
                    </w:rPr>
                    <w:t>：</w:t>
                  </w:r>
                  <w:r>
                    <w:rPr>
                      <w:rFonts w:ascii="Times New Roman" w:hAnsi="Times New Roman" w:cs="Times New Roman"/>
                      <w:sz w:val="21"/>
                      <w:szCs w:val="21"/>
                    </w:rPr>
                    <w:t>00</w:t>
                  </w:r>
                </w:p>
              </w:tc>
              <w:tc>
                <w:tcPr>
                  <w:tcW w:w="383"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w:t>
                  </w:r>
                </w:p>
              </w:tc>
              <w:tc>
                <w:tcPr>
                  <w:tcW w:w="372"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50.0</w:t>
                  </w:r>
                </w:p>
              </w:tc>
              <w:tc>
                <w:tcPr>
                  <w:tcW w:w="297" w:type="pct"/>
                  <w:vAlign w:val="center"/>
                </w:tcPr>
                <w:p>
                  <w:pPr>
                    <w:pStyle w:val="54"/>
                    <w:jc w:val="center"/>
                  </w:pPr>
                  <w:r>
                    <w:rPr>
                      <w:rFonts w:ascii="Times New Roman" w:hAnsi="Times New Roman" w:cs="Times New Roman"/>
                      <w:sz w:val="21"/>
                      <w:szCs w:val="21"/>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8" w:type="pct"/>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val="en-US" w:eastAsia="zh-CN"/>
                    </w:rPr>
                    <w:t>9</w:t>
                  </w:r>
                </w:p>
              </w:tc>
              <w:tc>
                <w:tcPr>
                  <w:tcW w:w="428" w:type="pct"/>
                  <w:vMerge w:val="continue"/>
                  <w:vAlign w:val="center"/>
                </w:tcPr>
                <w:p>
                  <w:pPr>
                    <w:autoSpaceDE w:val="0"/>
                    <w:autoSpaceDN w:val="0"/>
                    <w:spacing w:line="240" w:lineRule="auto"/>
                    <w:jc w:val="center"/>
                    <w:rPr>
                      <w:rFonts w:eastAsia="宋体"/>
                      <w:sz w:val="21"/>
                      <w:szCs w:val="21"/>
                    </w:rPr>
                  </w:pPr>
                </w:p>
              </w:tc>
              <w:tc>
                <w:tcPr>
                  <w:tcW w:w="580" w:type="pct"/>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val="en-US" w:eastAsia="zh-CN"/>
                    </w:rPr>
                    <w:t>3</w:t>
                  </w:r>
                  <w:r>
                    <w:rPr>
                      <w:rFonts w:ascii="Times New Roman" w:hAnsi="Times New Roman" w:cs="Times New Roman"/>
                      <w:sz w:val="21"/>
                      <w:szCs w:val="21"/>
                    </w:rPr>
                    <w:t>套音响设备</w:t>
                  </w:r>
                </w:p>
              </w:tc>
              <w:tc>
                <w:tcPr>
                  <w:tcW w:w="25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32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85</w:t>
                  </w:r>
                </w:p>
              </w:tc>
              <w:tc>
                <w:tcPr>
                  <w:tcW w:w="284" w:type="pct"/>
                  <w:vMerge w:val="continue"/>
                  <w:vAlign w:val="center"/>
                </w:tcPr>
                <w:p>
                  <w:pPr>
                    <w:autoSpaceDE w:val="0"/>
                    <w:autoSpaceDN w:val="0"/>
                    <w:spacing w:line="240" w:lineRule="auto"/>
                    <w:jc w:val="center"/>
                    <w:rPr>
                      <w:rFonts w:eastAsia="宋体"/>
                      <w:sz w:val="21"/>
                      <w:szCs w:val="21"/>
                    </w:rPr>
                  </w:pPr>
                </w:p>
              </w:tc>
              <w:tc>
                <w:tcPr>
                  <w:tcW w:w="16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195" w:type="pct"/>
                  <w:vAlign w:val="center"/>
                </w:tcPr>
                <w:p>
                  <w:pPr>
                    <w:pStyle w:val="54"/>
                    <w:jc w:val="center"/>
                  </w:pPr>
                  <w:r>
                    <w:rPr>
                      <w:rFonts w:ascii="Times New Roman" w:hAnsi="Times New Roman" w:cs="Times New Roman"/>
                      <w:sz w:val="21"/>
                      <w:szCs w:val="21"/>
                    </w:rPr>
                    <w:t>/</w:t>
                  </w:r>
                </w:p>
              </w:tc>
              <w:tc>
                <w:tcPr>
                  <w:tcW w:w="180" w:type="pct"/>
                  <w:vAlign w:val="center"/>
                </w:tcPr>
                <w:p>
                  <w:pPr>
                    <w:pStyle w:val="54"/>
                    <w:jc w:val="center"/>
                  </w:pPr>
                  <w:r>
                    <w:rPr>
                      <w:rFonts w:ascii="Times New Roman" w:hAnsi="Times New Roman" w:cs="Times New Roman"/>
                      <w:sz w:val="21"/>
                      <w:szCs w:val="21"/>
                    </w:rPr>
                    <w:t>/</w:t>
                  </w:r>
                </w:p>
              </w:tc>
              <w:tc>
                <w:tcPr>
                  <w:tcW w:w="34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w:t>
                  </w:r>
                </w:p>
              </w:tc>
              <w:tc>
                <w:tcPr>
                  <w:tcW w:w="397"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85.0</w:t>
                  </w:r>
                </w:p>
              </w:tc>
              <w:tc>
                <w:tcPr>
                  <w:tcW w:w="493" w:type="pct"/>
                  <w:vMerge w:val="continue"/>
                  <w:vAlign w:val="center"/>
                </w:tcPr>
                <w:p>
                  <w:pPr>
                    <w:autoSpaceDE w:val="0"/>
                    <w:autoSpaceDN w:val="0"/>
                    <w:spacing w:line="240" w:lineRule="auto"/>
                    <w:jc w:val="center"/>
                    <w:rPr>
                      <w:rFonts w:eastAsia="宋体"/>
                      <w:sz w:val="21"/>
                      <w:szCs w:val="21"/>
                    </w:rPr>
                  </w:pPr>
                </w:p>
              </w:tc>
              <w:tc>
                <w:tcPr>
                  <w:tcW w:w="383"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w:t>
                  </w:r>
                </w:p>
              </w:tc>
              <w:tc>
                <w:tcPr>
                  <w:tcW w:w="372"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65.0</w:t>
                  </w:r>
                </w:p>
              </w:tc>
              <w:tc>
                <w:tcPr>
                  <w:tcW w:w="297" w:type="pct"/>
                  <w:vAlign w:val="center"/>
                </w:tcPr>
                <w:p>
                  <w:pPr>
                    <w:pStyle w:val="54"/>
                    <w:jc w:val="center"/>
                  </w:pPr>
                  <w:r>
                    <w:rPr>
                      <w:rFonts w:ascii="Times New Roman" w:hAnsi="Times New Roman" w:cs="Times New Roman"/>
                      <w:sz w:val="21"/>
                      <w:szCs w:val="21"/>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8" w:type="pct"/>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val="en-US" w:eastAsia="zh-CN"/>
                    </w:rPr>
                    <w:t>10</w:t>
                  </w:r>
                </w:p>
              </w:tc>
              <w:tc>
                <w:tcPr>
                  <w:tcW w:w="428" w:type="pct"/>
                  <w:vMerge w:val="continue"/>
                  <w:vAlign w:val="center"/>
                </w:tcPr>
                <w:p>
                  <w:pPr>
                    <w:autoSpaceDE w:val="0"/>
                    <w:autoSpaceDN w:val="0"/>
                    <w:spacing w:line="240" w:lineRule="auto"/>
                    <w:jc w:val="center"/>
                    <w:rPr>
                      <w:rFonts w:eastAsia="宋体"/>
                      <w:sz w:val="21"/>
                      <w:szCs w:val="21"/>
                    </w:rPr>
                  </w:pPr>
                </w:p>
              </w:tc>
              <w:tc>
                <w:tcPr>
                  <w:tcW w:w="580"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室内活动噪声</w:t>
                  </w:r>
                </w:p>
              </w:tc>
              <w:tc>
                <w:tcPr>
                  <w:tcW w:w="25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32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70</w:t>
                  </w:r>
                </w:p>
              </w:tc>
              <w:tc>
                <w:tcPr>
                  <w:tcW w:w="284" w:type="pct"/>
                  <w:vMerge w:val="continue"/>
                  <w:vAlign w:val="center"/>
                </w:tcPr>
                <w:p>
                  <w:pPr>
                    <w:autoSpaceDE w:val="0"/>
                    <w:autoSpaceDN w:val="0"/>
                    <w:spacing w:line="240" w:lineRule="auto"/>
                    <w:jc w:val="center"/>
                    <w:rPr>
                      <w:rFonts w:eastAsia="宋体"/>
                      <w:sz w:val="21"/>
                      <w:szCs w:val="21"/>
                    </w:rPr>
                  </w:pPr>
                </w:p>
              </w:tc>
              <w:tc>
                <w:tcPr>
                  <w:tcW w:w="16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195" w:type="pct"/>
                  <w:vAlign w:val="center"/>
                </w:tcPr>
                <w:p>
                  <w:pPr>
                    <w:pStyle w:val="54"/>
                    <w:jc w:val="center"/>
                  </w:pPr>
                  <w:r>
                    <w:rPr>
                      <w:rFonts w:ascii="Times New Roman" w:hAnsi="Times New Roman" w:cs="Times New Roman"/>
                      <w:sz w:val="21"/>
                      <w:szCs w:val="21"/>
                    </w:rPr>
                    <w:t>/</w:t>
                  </w:r>
                </w:p>
              </w:tc>
              <w:tc>
                <w:tcPr>
                  <w:tcW w:w="180" w:type="pct"/>
                  <w:vAlign w:val="center"/>
                </w:tcPr>
                <w:p>
                  <w:pPr>
                    <w:pStyle w:val="54"/>
                    <w:jc w:val="center"/>
                  </w:pPr>
                  <w:r>
                    <w:rPr>
                      <w:rFonts w:ascii="Times New Roman" w:hAnsi="Times New Roman" w:cs="Times New Roman"/>
                      <w:sz w:val="21"/>
                      <w:szCs w:val="21"/>
                    </w:rPr>
                    <w:t>/</w:t>
                  </w:r>
                </w:p>
              </w:tc>
              <w:tc>
                <w:tcPr>
                  <w:tcW w:w="34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w:t>
                  </w:r>
                </w:p>
              </w:tc>
              <w:tc>
                <w:tcPr>
                  <w:tcW w:w="397"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70.0</w:t>
                  </w:r>
                </w:p>
              </w:tc>
              <w:tc>
                <w:tcPr>
                  <w:tcW w:w="493" w:type="pct"/>
                  <w:vMerge w:val="continue"/>
                  <w:vAlign w:val="center"/>
                </w:tcPr>
                <w:p>
                  <w:pPr>
                    <w:autoSpaceDE w:val="0"/>
                    <w:autoSpaceDN w:val="0"/>
                    <w:spacing w:line="240" w:lineRule="auto"/>
                    <w:jc w:val="center"/>
                    <w:rPr>
                      <w:rFonts w:eastAsia="宋体"/>
                      <w:sz w:val="21"/>
                      <w:szCs w:val="21"/>
                    </w:rPr>
                  </w:pPr>
                </w:p>
              </w:tc>
              <w:tc>
                <w:tcPr>
                  <w:tcW w:w="383"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w:t>
                  </w:r>
                </w:p>
              </w:tc>
              <w:tc>
                <w:tcPr>
                  <w:tcW w:w="372"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50.0</w:t>
                  </w:r>
                </w:p>
              </w:tc>
              <w:tc>
                <w:tcPr>
                  <w:tcW w:w="297" w:type="pct"/>
                  <w:vAlign w:val="center"/>
                </w:tcPr>
                <w:p>
                  <w:pPr>
                    <w:pStyle w:val="54"/>
                    <w:jc w:val="center"/>
                  </w:pPr>
                  <w:r>
                    <w:rPr>
                      <w:rFonts w:ascii="Times New Roman" w:hAnsi="Times New Roman" w:cs="Times New Roman"/>
                      <w:sz w:val="21"/>
                      <w:szCs w:val="21"/>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8" w:type="pct"/>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val="en-US" w:eastAsia="zh-CN"/>
                    </w:rPr>
                    <w:t>11</w:t>
                  </w:r>
                </w:p>
              </w:tc>
              <w:tc>
                <w:tcPr>
                  <w:tcW w:w="428" w:type="pct"/>
                  <w:vMerge w:val="restar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5#餐</w:t>
                  </w:r>
                </w:p>
                <w:p>
                  <w:pPr>
                    <w:pStyle w:val="54"/>
                    <w:jc w:val="center"/>
                    <w:rPr>
                      <w:rFonts w:ascii="Times New Roman" w:hAnsi="Times New Roman" w:cs="Times New Roman"/>
                      <w:sz w:val="21"/>
                      <w:szCs w:val="21"/>
                    </w:rPr>
                  </w:pPr>
                  <w:r>
                    <w:rPr>
                      <w:rFonts w:ascii="Times New Roman" w:hAnsi="Times New Roman" w:cs="Times New Roman"/>
                      <w:sz w:val="21"/>
                      <w:szCs w:val="21"/>
                    </w:rPr>
                    <w:t>厅、体艺楼</w:t>
                  </w:r>
                </w:p>
              </w:tc>
              <w:tc>
                <w:tcPr>
                  <w:tcW w:w="580"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5套电器</w:t>
                  </w:r>
                </w:p>
              </w:tc>
              <w:tc>
                <w:tcPr>
                  <w:tcW w:w="25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32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70</w:t>
                  </w:r>
                </w:p>
              </w:tc>
              <w:tc>
                <w:tcPr>
                  <w:tcW w:w="284" w:type="pct"/>
                  <w:vMerge w:val="continue"/>
                  <w:vAlign w:val="center"/>
                </w:tcPr>
                <w:p>
                  <w:pPr>
                    <w:pStyle w:val="54"/>
                    <w:jc w:val="center"/>
                    <w:rPr>
                      <w:rFonts w:ascii="Times New Roman" w:hAnsi="Times New Roman" w:cs="Times New Roman"/>
                      <w:sz w:val="21"/>
                      <w:szCs w:val="21"/>
                    </w:rPr>
                  </w:pPr>
                </w:p>
              </w:tc>
              <w:tc>
                <w:tcPr>
                  <w:tcW w:w="16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195" w:type="pct"/>
                  <w:vAlign w:val="center"/>
                </w:tcPr>
                <w:p>
                  <w:pPr>
                    <w:pStyle w:val="54"/>
                    <w:jc w:val="center"/>
                  </w:pPr>
                  <w:r>
                    <w:rPr>
                      <w:rFonts w:ascii="Times New Roman" w:hAnsi="Times New Roman" w:cs="Times New Roman"/>
                      <w:sz w:val="21"/>
                      <w:szCs w:val="21"/>
                    </w:rPr>
                    <w:t>/</w:t>
                  </w:r>
                </w:p>
              </w:tc>
              <w:tc>
                <w:tcPr>
                  <w:tcW w:w="180" w:type="pct"/>
                  <w:vAlign w:val="center"/>
                </w:tcPr>
                <w:p>
                  <w:pPr>
                    <w:pStyle w:val="54"/>
                    <w:jc w:val="center"/>
                  </w:pPr>
                  <w:r>
                    <w:rPr>
                      <w:rFonts w:ascii="Times New Roman" w:hAnsi="Times New Roman" w:cs="Times New Roman"/>
                      <w:sz w:val="21"/>
                      <w:szCs w:val="21"/>
                    </w:rPr>
                    <w:t>/</w:t>
                  </w:r>
                </w:p>
              </w:tc>
              <w:tc>
                <w:tcPr>
                  <w:tcW w:w="34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w:t>
                  </w:r>
                </w:p>
              </w:tc>
              <w:tc>
                <w:tcPr>
                  <w:tcW w:w="397"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70.0</w:t>
                  </w:r>
                </w:p>
              </w:tc>
              <w:tc>
                <w:tcPr>
                  <w:tcW w:w="493" w:type="pct"/>
                  <w:vMerge w:val="restar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6</w:t>
                  </w:r>
                  <w:r>
                    <w:rPr>
                      <w:rFonts w:hint="eastAsia" w:ascii="Times New Roman" w:hAnsi="Times New Roman" w:cs="Times New Roman"/>
                      <w:sz w:val="21"/>
                      <w:szCs w:val="21"/>
                      <w:lang w:eastAsia="zh-CN"/>
                    </w:rPr>
                    <w:t>：</w:t>
                  </w:r>
                  <w:r>
                    <w:rPr>
                      <w:rFonts w:ascii="Times New Roman" w:hAnsi="Times New Roman" w:cs="Times New Roman"/>
                      <w:sz w:val="21"/>
                      <w:szCs w:val="21"/>
                    </w:rPr>
                    <w:t>00~22</w:t>
                  </w:r>
                  <w:r>
                    <w:rPr>
                      <w:rFonts w:hint="eastAsia" w:ascii="Times New Roman" w:hAnsi="Times New Roman" w:cs="Times New Roman"/>
                      <w:sz w:val="21"/>
                      <w:szCs w:val="21"/>
                      <w:lang w:eastAsia="zh-CN"/>
                    </w:rPr>
                    <w:t>：</w:t>
                  </w:r>
                  <w:r>
                    <w:rPr>
                      <w:rFonts w:ascii="Times New Roman" w:hAnsi="Times New Roman" w:cs="Times New Roman"/>
                      <w:sz w:val="21"/>
                      <w:szCs w:val="21"/>
                    </w:rPr>
                    <w:t>00</w:t>
                  </w:r>
                </w:p>
              </w:tc>
              <w:tc>
                <w:tcPr>
                  <w:tcW w:w="383"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w:t>
                  </w:r>
                </w:p>
              </w:tc>
              <w:tc>
                <w:tcPr>
                  <w:tcW w:w="372"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50.0</w:t>
                  </w:r>
                </w:p>
              </w:tc>
              <w:tc>
                <w:tcPr>
                  <w:tcW w:w="297" w:type="pct"/>
                  <w:vAlign w:val="center"/>
                </w:tcPr>
                <w:p>
                  <w:pPr>
                    <w:pStyle w:val="54"/>
                    <w:jc w:val="center"/>
                  </w:pPr>
                  <w:r>
                    <w:rPr>
                      <w:rFonts w:ascii="Times New Roman" w:hAnsi="Times New Roman" w:cs="Times New Roman"/>
                      <w:sz w:val="21"/>
                      <w:szCs w:val="21"/>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8" w:type="pct"/>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val="en-US" w:eastAsia="zh-CN"/>
                    </w:rPr>
                    <w:t>12</w:t>
                  </w:r>
                </w:p>
              </w:tc>
              <w:tc>
                <w:tcPr>
                  <w:tcW w:w="428" w:type="pct"/>
                  <w:vMerge w:val="continue"/>
                  <w:vAlign w:val="center"/>
                </w:tcPr>
                <w:p>
                  <w:pPr>
                    <w:autoSpaceDE w:val="0"/>
                    <w:autoSpaceDN w:val="0"/>
                    <w:spacing w:line="240" w:lineRule="auto"/>
                    <w:jc w:val="center"/>
                    <w:rPr>
                      <w:rFonts w:eastAsia="宋体"/>
                      <w:sz w:val="21"/>
                      <w:szCs w:val="21"/>
                    </w:rPr>
                  </w:pPr>
                </w:p>
              </w:tc>
              <w:tc>
                <w:tcPr>
                  <w:tcW w:w="580"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5套音响设备</w:t>
                  </w:r>
                </w:p>
              </w:tc>
              <w:tc>
                <w:tcPr>
                  <w:tcW w:w="25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32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85</w:t>
                  </w:r>
                </w:p>
              </w:tc>
              <w:tc>
                <w:tcPr>
                  <w:tcW w:w="284" w:type="pct"/>
                  <w:vMerge w:val="continue"/>
                  <w:vAlign w:val="center"/>
                </w:tcPr>
                <w:p>
                  <w:pPr>
                    <w:autoSpaceDE w:val="0"/>
                    <w:autoSpaceDN w:val="0"/>
                    <w:spacing w:line="240" w:lineRule="auto"/>
                    <w:jc w:val="center"/>
                    <w:rPr>
                      <w:rFonts w:eastAsia="宋体"/>
                      <w:sz w:val="21"/>
                      <w:szCs w:val="21"/>
                    </w:rPr>
                  </w:pPr>
                </w:p>
              </w:tc>
              <w:tc>
                <w:tcPr>
                  <w:tcW w:w="16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195" w:type="pct"/>
                  <w:vAlign w:val="center"/>
                </w:tcPr>
                <w:p>
                  <w:pPr>
                    <w:pStyle w:val="54"/>
                    <w:jc w:val="center"/>
                  </w:pPr>
                  <w:r>
                    <w:rPr>
                      <w:rFonts w:ascii="Times New Roman" w:hAnsi="Times New Roman" w:cs="Times New Roman"/>
                      <w:sz w:val="21"/>
                      <w:szCs w:val="21"/>
                    </w:rPr>
                    <w:t>/</w:t>
                  </w:r>
                </w:p>
              </w:tc>
              <w:tc>
                <w:tcPr>
                  <w:tcW w:w="180" w:type="pct"/>
                  <w:vAlign w:val="center"/>
                </w:tcPr>
                <w:p>
                  <w:pPr>
                    <w:pStyle w:val="54"/>
                    <w:jc w:val="center"/>
                  </w:pPr>
                  <w:r>
                    <w:rPr>
                      <w:rFonts w:ascii="Times New Roman" w:hAnsi="Times New Roman" w:cs="Times New Roman"/>
                      <w:sz w:val="21"/>
                      <w:szCs w:val="21"/>
                    </w:rPr>
                    <w:t>/</w:t>
                  </w:r>
                </w:p>
              </w:tc>
              <w:tc>
                <w:tcPr>
                  <w:tcW w:w="34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w:t>
                  </w:r>
                </w:p>
              </w:tc>
              <w:tc>
                <w:tcPr>
                  <w:tcW w:w="397"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85.0</w:t>
                  </w:r>
                </w:p>
              </w:tc>
              <w:tc>
                <w:tcPr>
                  <w:tcW w:w="493" w:type="pct"/>
                  <w:vMerge w:val="continue"/>
                  <w:vAlign w:val="center"/>
                </w:tcPr>
                <w:p>
                  <w:pPr>
                    <w:autoSpaceDE w:val="0"/>
                    <w:autoSpaceDN w:val="0"/>
                    <w:spacing w:line="240" w:lineRule="auto"/>
                    <w:jc w:val="center"/>
                    <w:rPr>
                      <w:rFonts w:eastAsia="宋体"/>
                      <w:sz w:val="21"/>
                      <w:szCs w:val="21"/>
                    </w:rPr>
                  </w:pPr>
                </w:p>
              </w:tc>
              <w:tc>
                <w:tcPr>
                  <w:tcW w:w="383"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w:t>
                  </w:r>
                </w:p>
              </w:tc>
              <w:tc>
                <w:tcPr>
                  <w:tcW w:w="372"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65.0</w:t>
                  </w:r>
                </w:p>
              </w:tc>
              <w:tc>
                <w:tcPr>
                  <w:tcW w:w="297" w:type="pct"/>
                  <w:vAlign w:val="center"/>
                </w:tcPr>
                <w:p>
                  <w:pPr>
                    <w:pStyle w:val="54"/>
                    <w:jc w:val="center"/>
                  </w:pPr>
                  <w:r>
                    <w:rPr>
                      <w:rFonts w:ascii="Times New Roman" w:hAnsi="Times New Roman" w:cs="Times New Roman"/>
                      <w:sz w:val="21"/>
                      <w:szCs w:val="21"/>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8" w:type="pct"/>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val="en-US" w:eastAsia="zh-CN"/>
                    </w:rPr>
                    <w:t>13</w:t>
                  </w:r>
                </w:p>
              </w:tc>
              <w:tc>
                <w:tcPr>
                  <w:tcW w:w="428" w:type="pct"/>
                  <w:vMerge w:val="continue"/>
                  <w:vAlign w:val="center"/>
                </w:tcPr>
                <w:p>
                  <w:pPr>
                    <w:autoSpaceDE w:val="0"/>
                    <w:autoSpaceDN w:val="0"/>
                    <w:spacing w:line="240" w:lineRule="auto"/>
                    <w:jc w:val="center"/>
                    <w:rPr>
                      <w:rFonts w:eastAsia="宋体"/>
                      <w:sz w:val="21"/>
                      <w:szCs w:val="21"/>
                    </w:rPr>
                  </w:pPr>
                </w:p>
              </w:tc>
              <w:tc>
                <w:tcPr>
                  <w:tcW w:w="580"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室内活动噪声</w:t>
                  </w:r>
                </w:p>
              </w:tc>
              <w:tc>
                <w:tcPr>
                  <w:tcW w:w="25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32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70</w:t>
                  </w:r>
                </w:p>
              </w:tc>
              <w:tc>
                <w:tcPr>
                  <w:tcW w:w="284" w:type="pct"/>
                  <w:vMerge w:val="continue"/>
                  <w:vAlign w:val="center"/>
                </w:tcPr>
                <w:p>
                  <w:pPr>
                    <w:autoSpaceDE w:val="0"/>
                    <w:autoSpaceDN w:val="0"/>
                    <w:spacing w:line="240" w:lineRule="auto"/>
                    <w:jc w:val="center"/>
                    <w:rPr>
                      <w:rFonts w:eastAsia="宋体"/>
                      <w:sz w:val="21"/>
                      <w:szCs w:val="21"/>
                    </w:rPr>
                  </w:pPr>
                </w:p>
              </w:tc>
              <w:tc>
                <w:tcPr>
                  <w:tcW w:w="16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195" w:type="pct"/>
                  <w:vAlign w:val="center"/>
                </w:tcPr>
                <w:p>
                  <w:pPr>
                    <w:pStyle w:val="54"/>
                    <w:jc w:val="center"/>
                  </w:pPr>
                  <w:r>
                    <w:rPr>
                      <w:rFonts w:ascii="Times New Roman" w:hAnsi="Times New Roman" w:cs="Times New Roman"/>
                      <w:sz w:val="21"/>
                      <w:szCs w:val="21"/>
                    </w:rPr>
                    <w:t>/</w:t>
                  </w:r>
                </w:p>
              </w:tc>
              <w:tc>
                <w:tcPr>
                  <w:tcW w:w="180" w:type="pct"/>
                  <w:vAlign w:val="center"/>
                </w:tcPr>
                <w:p>
                  <w:pPr>
                    <w:pStyle w:val="54"/>
                    <w:jc w:val="center"/>
                  </w:pPr>
                  <w:r>
                    <w:rPr>
                      <w:rFonts w:ascii="Times New Roman" w:hAnsi="Times New Roman" w:cs="Times New Roman"/>
                      <w:sz w:val="21"/>
                      <w:szCs w:val="21"/>
                    </w:rPr>
                    <w:t>/</w:t>
                  </w:r>
                </w:p>
              </w:tc>
              <w:tc>
                <w:tcPr>
                  <w:tcW w:w="34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w:t>
                  </w:r>
                </w:p>
              </w:tc>
              <w:tc>
                <w:tcPr>
                  <w:tcW w:w="397"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70.0</w:t>
                  </w:r>
                </w:p>
              </w:tc>
              <w:tc>
                <w:tcPr>
                  <w:tcW w:w="493" w:type="pct"/>
                  <w:vMerge w:val="continue"/>
                  <w:vAlign w:val="center"/>
                </w:tcPr>
                <w:p>
                  <w:pPr>
                    <w:autoSpaceDE w:val="0"/>
                    <w:autoSpaceDN w:val="0"/>
                    <w:spacing w:line="240" w:lineRule="auto"/>
                    <w:jc w:val="center"/>
                    <w:rPr>
                      <w:rFonts w:eastAsia="宋体"/>
                      <w:sz w:val="21"/>
                      <w:szCs w:val="21"/>
                    </w:rPr>
                  </w:pPr>
                </w:p>
              </w:tc>
              <w:tc>
                <w:tcPr>
                  <w:tcW w:w="383"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w:t>
                  </w:r>
                </w:p>
              </w:tc>
              <w:tc>
                <w:tcPr>
                  <w:tcW w:w="372"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50.0</w:t>
                  </w:r>
                </w:p>
              </w:tc>
              <w:tc>
                <w:tcPr>
                  <w:tcW w:w="297" w:type="pct"/>
                  <w:vAlign w:val="center"/>
                </w:tcPr>
                <w:p>
                  <w:pPr>
                    <w:pStyle w:val="54"/>
                    <w:jc w:val="center"/>
                  </w:pPr>
                  <w:r>
                    <w:rPr>
                      <w:rFonts w:ascii="Times New Roman" w:hAnsi="Times New Roman" w:cs="Times New Roman"/>
                      <w:sz w:val="21"/>
                      <w:szCs w:val="21"/>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8" w:type="pct"/>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val="en-US" w:eastAsia="zh-CN"/>
                    </w:rPr>
                    <w:t>14</w:t>
                  </w:r>
                </w:p>
              </w:tc>
              <w:tc>
                <w:tcPr>
                  <w:tcW w:w="428"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地下室</w:t>
                  </w:r>
                </w:p>
              </w:tc>
              <w:tc>
                <w:tcPr>
                  <w:tcW w:w="580" w:type="pct"/>
                  <w:vAlign w:val="center"/>
                </w:tcPr>
                <w:p>
                  <w:pPr>
                    <w:pStyle w:val="54"/>
                    <w:jc w:val="center"/>
                    <w:rPr>
                      <w:rFonts w:ascii="Times New Roman" w:hAnsi="Times New Roman" w:cs="Times New Roman"/>
                      <w:sz w:val="21"/>
                      <w:szCs w:val="21"/>
                    </w:rPr>
                  </w:pPr>
                  <w:r>
                    <w:rPr>
                      <w:rFonts w:hint="eastAsia" w:ascii="Times New Roman" w:hAnsi="Times New Roman" w:cs="Times New Roman"/>
                      <w:sz w:val="21"/>
                      <w:szCs w:val="21"/>
                      <w:lang w:val="en-US" w:eastAsia="zh-CN"/>
                    </w:rPr>
                    <w:t>4套</w:t>
                  </w:r>
                  <w:r>
                    <w:rPr>
                      <w:rFonts w:ascii="Times New Roman" w:hAnsi="Times New Roman" w:cs="Times New Roman"/>
                      <w:sz w:val="21"/>
                      <w:szCs w:val="21"/>
                    </w:rPr>
                    <w:t>水泵</w:t>
                  </w:r>
                </w:p>
              </w:tc>
              <w:tc>
                <w:tcPr>
                  <w:tcW w:w="259"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w:t>
                  </w:r>
                </w:p>
              </w:tc>
              <w:tc>
                <w:tcPr>
                  <w:tcW w:w="325" w:type="pct"/>
                  <w:vAlign w:val="center"/>
                </w:tcPr>
                <w:p>
                  <w:pPr>
                    <w:pStyle w:val="54"/>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80</w:t>
                  </w:r>
                </w:p>
              </w:tc>
              <w:tc>
                <w:tcPr>
                  <w:tcW w:w="284" w:type="pct"/>
                  <w:vMerge w:val="continue"/>
                  <w:vAlign w:val="center"/>
                </w:tcPr>
                <w:p>
                  <w:pPr>
                    <w:pStyle w:val="54"/>
                    <w:jc w:val="center"/>
                    <w:rPr>
                      <w:rFonts w:ascii="Times New Roman" w:hAnsi="Times New Roman" w:cs="Times New Roman"/>
                      <w:sz w:val="21"/>
                      <w:szCs w:val="21"/>
                    </w:rPr>
                  </w:pPr>
                </w:p>
              </w:tc>
              <w:tc>
                <w:tcPr>
                  <w:tcW w:w="169" w:type="pct"/>
                  <w:vAlign w:val="center"/>
                </w:tcPr>
                <w:p>
                  <w:pPr>
                    <w:pStyle w:val="54"/>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95" w:type="pct"/>
                  <w:vAlign w:val="center"/>
                </w:tcPr>
                <w:p>
                  <w:pPr>
                    <w:pStyle w:val="54"/>
                    <w:jc w:val="center"/>
                    <w:rPr>
                      <w:rFonts w:hint="default"/>
                      <w:lang w:val="en-US" w:eastAsia="zh-CN"/>
                    </w:rPr>
                  </w:pPr>
                  <w:r>
                    <w:rPr>
                      <w:rFonts w:hint="eastAsia" w:ascii="Times New Roman" w:hAnsi="Times New Roman" w:cs="Times New Roman"/>
                      <w:sz w:val="21"/>
                      <w:szCs w:val="21"/>
                      <w:lang w:val="en-US" w:eastAsia="zh-CN"/>
                    </w:rPr>
                    <w:t>/</w:t>
                  </w:r>
                </w:p>
              </w:tc>
              <w:tc>
                <w:tcPr>
                  <w:tcW w:w="180" w:type="pct"/>
                  <w:vAlign w:val="center"/>
                </w:tcPr>
                <w:p>
                  <w:pPr>
                    <w:pStyle w:val="54"/>
                    <w:jc w:val="center"/>
                    <w:rPr>
                      <w:rFonts w:hint="default"/>
                      <w:lang w:val="en-US"/>
                    </w:rPr>
                  </w:pPr>
                  <w:r>
                    <w:rPr>
                      <w:rFonts w:hint="eastAsia" w:ascii="Times New Roman" w:hAnsi="Times New Roman" w:cs="Times New Roman"/>
                      <w:sz w:val="21"/>
                      <w:szCs w:val="21"/>
                      <w:lang w:val="en-US" w:eastAsia="zh-CN"/>
                    </w:rPr>
                    <w:t>/</w:t>
                  </w:r>
                </w:p>
              </w:tc>
              <w:tc>
                <w:tcPr>
                  <w:tcW w:w="345"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10</w:t>
                  </w:r>
                </w:p>
              </w:tc>
              <w:tc>
                <w:tcPr>
                  <w:tcW w:w="397" w:type="pct"/>
                  <w:vAlign w:val="center"/>
                </w:tcPr>
                <w:p>
                  <w:pPr>
                    <w:pStyle w:val="54"/>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55</w:t>
                  </w:r>
                </w:p>
              </w:tc>
              <w:tc>
                <w:tcPr>
                  <w:tcW w:w="493"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6</w:t>
                  </w:r>
                  <w:r>
                    <w:rPr>
                      <w:rFonts w:hint="eastAsia" w:ascii="Times New Roman" w:hAnsi="Times New Roman" w:cs="Times New Roman"/>
                      <w:sz w:val="21"/>
                      <w:szCs w:val="21"/>
                      <w:lang w:eastAsia="zh-CN"/>
                    </w:rPr>
                    <w:t>：</w:t>
                  </w:r>
                  <w:r>
                    <w:rPr>
                      <w:rFonts w:ascii="Times New Roman" w:hAnsi="Times New Roman" w:cs="Times New Roman"/>
                      <w:sz w:val="21"/>
                      <w:szCs w:val="21"/>
                    </w:rPr>
                    <w:t>00~22</w:t>
                  </w:r>
                  <w:r>
                    <w:rPr>
                      <w:rFonts w:hint="eastAsia" w:ascii="Times New Roman" w:hAnsi="Times New Roman" w:cs="Times New Roman"/>
                      <w:sz w:val="21"/>
                      <w:szCs w:val="21"/>
                      <w:lang w:eastAsia="zh-CN"/>
                    </w:rPr>
                    <w:t>：</w:t>
                  </w:r>
                  <w:r>
                    <w:rPr>
                      <w:rFonts w:ascii="Times New Roman" w:hAnsi="Times New Roman" w:cs="Times New Roman"/>
                      <w:sz w:val="21"/>
                      <w:szCs w:val="21"/>
                    </w:rPr>
                    <w:t>00</w:t>
                  </w:r>
                </w:p>
              </w:tc>
              <w:tc>
                <w:tcPr>
                  <w:tcW w:w="383" w:type="pct"/>
                  <w:vAlign w:val="center"/>
                </w:tcPr>
                <w:p>
                  <w:pPr>
                    <w:pStyle w:val="54"/>
                    <w:jc w:val="center"/>
                    <w:rPr>
                      <w:rFonts w:ascii="Times New Roman" w:hAnsi="Times New Roman" w:cs="Times New Roman"/>
                      <w:sz w:val="21"/>
                      <w:szCs w:val="21"/>
                    </w:rPr>
                  </w:pPr>
                  <w:r>
                    <w:rPr>
                      <w:rFonts w:ascii="Times New Roman" w:hAnsi="Times New Roman" w:cs="Times New Roman"/>
                      <w:sz w:val="21"/>
                      <w:szCs w:val="21"/>
                    </w:rPr>
                    <w:t>20</w:t>
                  </w:r>
                </w:p>
              </w:tc>
              <w:tc>
                <w:tcPr>
                  <w:tcW w:w="372" w:type="pct"/>
                  <w:vAlign w:val="center"/>
                </w:tcPr>
                <w:p>
                  <w:pPr>
                    <w:pStyle w:val="54"/>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55</w:t>
                  </w:r>
                </w:p>
              </w:tc>
              <w:tc>
                <w:tcPr>
                  <w:tcW w:w="297" w:type="pct"/>
                  <w:vAlign w:val="center"/>
                </w:tcPr>
                <w:p>
                  <w:pPr>
                    <w:pStyle w:val="54"/>
                    <w:jc w:val="center"/>
                  </w:pPr>
                  <w:r>
                    <w:rPr>
                      <w:rFonts w:ascii="Times New Roman" w:hAnsi="Times New Roman" w:cs="Times New Roman"/>
                      <w:sz w:val="21"/>
                      <w:szCs w:val="21"/>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5"/>
                  <w:vAlign w:val="center"/>
                </w:tcPr>
                <w:p>
                  <w:pPr>
                    <w:pStyle w:val="54"/>
                    <w:widowControl/>
                    <w:autoSpaceDE/>
                    <w:autoSpaceDN/>
                    <w:jc w:val="both"/>
                    <w:rPr>
                      <w:rFonts w:ascii="Times New Roman" w:hAnsi="Times New Roman" w:cs="Times New Roman"/>
                      <w:sz w:val="21"/>
                      <w:szCs w:val="21"/>
                      <w:lang w:eastAsia="zh-CN"/>
                    </w:rPr>
                  </w:pPr>
                  <w:r>
                    <w:rPr>
                      <w:rFonts w:ascii="Times New Roman" w:hAnsi="Times New Roman" w:cs="Times New Roman"/>
                      <w:sz w:val="21"/>
                      <w:szCs w:val="21"/>
                      <w:lang w:eastAsia="zh-CN"/>
                    </w:rPr>
                    <w:t>*注：本项目空间相对位置以</w:t>
                  </w:r>
                  <w:r>
                    <w:rPr>
                      <w:rFonts w:hint="eastAsia" w:ascii="Times New Roman" w:hAnsi="Times New Roman" w:cs="Times New Roman"/>
                      <w:sz w:val="21"/>
                      <w:szCs w:val="21"/>
                      <w:lang w:eastAsia="zh-CN"/>
                    </w:rPr>
                    <w:t>综合楼</w:t>
                  </w:r>
                  <w:r>
                    <w:rPr>
                      <w:rFonts w:ascii="Times New Roman" w:hAnsi="Times New Roman" w:cs="Times New Roman"/>
                      <w:sz w:val="21"/>
                      <w:szCs w:val="21"/>
                      <w:lang w:eastAsia="zh-CN"/>
                    </w:rPr>
                    <w:t>1F中心点为原点，东为X轴正方向，北为Y轴正方向，地面以上为Z轴正方向计；由于室内电器、音响等数量较多，故不一一列明其坐标。</w:t>
                  </w:r>
                </w:p>
              </w:tc>
            </w:tr>
          </w:tbl>
          <w:p>
            <w:pPr>
              <w:pStyle w:val="16"/>
            </w:pPr>
          </w:p>
        </w:tc>
      </w:tr>
    </w:tbl>
    <w:p>
      <w:pPr>
        <w:pStyle w:val="16"/>
        <w:sectPr>
          <w:pgSz w:w="16838" w:h="11906" w:orient="landscape"/>
          <w:pgMar w:top="1800" w:right="1440" w:bottom="1800" w:left="1440" w:header="851" w:footer="992" w:gutter="0"/>
          <w:pgNumType w:fmt="decimal"/>
          <w:cols w:space="425" w:num="1"/>
          <w:docGrid w:type="lines" w:linePitch="312" w:charSpace="0"/>
        </w:sect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7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456" w:type="dxa"/>
            <w:vAlign w:val="center"/>
          </w:tcPr>
          <w:p>
            <w:pPr>
              <w:pStyle w:val="16"/>
              <w:spacing w:line="240" w:lineRule="auto"/>
              <w:jc w:val="center"/>
              <w:rPr>
                <w:rFonts w:ascii="Times New Roman" w:hAnsi="Times New Roman" w:eastAsia="宋体" w:cs="Times New Roman"/>
              </w:rPr>
            </w:pPr>
          </w:p>
        </w:tc>
        <w:tc>
          <w:tcPr>
            <w:tcW w:w="7875" w:type="dxa"/>
          </w:tcPr>
          <w:p>
            <w:pPr>
              <w:pStyle w:val="5"/>
              <w:spacing w:before="156" w:beforeLines="50" w:after="0" w:line="240" w:lineRule="auto"/>
              <w:jc w:val="center"/>
              <w:rPr>
                <w:rFonts w:eastAsia="宋体"/>
              </w:rPr>
            </w:pPr>
            <w:r>
              <w:rPr>
                <w:rFonts w:hint="eastAsia" w:ascii="Times New Roman" w:hAnsi="Times New Roman" w:eastAsia="宋体" w:cs="Times New Roman"/>
                <w:sz w:val="21"/>
                <w:szCs w:val="21"/>
              </w:rPr>
              <w:t>表4-11室外噪声源强调查清单 单位：dB（A）</w:t>
            </w:r>
          </w:p>
          <w:tbl>
            <w:tblPr>
              <w:tblStyle w:val="3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1108"/>
              <w:gridCol w:w="560"/>
              <w:gridCol w:w="741"/>
              <w:gridCol w:w="636"/>
              <w:gridCol w:w="797"/>
              <w:gridCol w:w="1139"/>
              <w:gridCol w:w="1259"/>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restart"/>
                  <w:vAlign w:val="center"/>
                </w:tcPr>
                <w:p>
                  <w:pPr>
                    <w:pStyle w:val="54"/>
                    <w:jc w:val="center"/>
                  </w:pPr>
                  <w:r>
                    <w:rPr>
                      <w:rFonts w:ascii="Times New Roman" w:hAnsi="Times New Roman" w:cs="Times New Roman"/>
                      <w:sz w:val="21"/>
                      <w:szCs w:val="21"/>
                    </w:rPr>
                    <w:t>序号</w:t>
                  </w:r>
                </w:p>
              </w:tc>
              <w:tc>
                <w:tcPr>
                  <w:tcW w:w="1108" w:type="dxa"/>
                  <w:vMerge w:val="restart"/>
                  <w:vAlign w:val="center"/>
                </w:tcPr>
                <w:p>
                  <w:pPr>
                    <w:pStyle w:val="54"/>
                    <w:jc w:val="center"/>
                  </w:pPr>
                  <w:r>
                    <w:rPr>
                      <w:rFonts w:ascii="Times New Roman" w:hAnsi="Times New Roman" w:cs="Times New Roman"/>
                      <w:sz w:val="21"/>
                      <w:szCs w:val="21"/>
                    </w:rPr>
                    <w:t>声源名称</w:t>
                  </w:r>
                </w:p>
              </w:tc>
              <w:tc>
                <w:tcPr>
                  <w:tcW w:w="560" w:type="dxa"/>
                  <w:vMerge w:val="restart"/>
                  <w:vAlign w:val="center"/>
                </w:tcPr>
                <w:p>
                  <w:pPr>
                    <w:pStyle w:val="54"/>
                    <w:jc w:val="center"/>
                  </w:pPr>
                  <w:r>
                    <w:rPr>
                      <w:rFonts w:ascii="Times New Roman" w:hAnsi="Times New Roman" w:cs="Times New Roman"/>
                      <w:sz w:val="21"/>
                      <w:szCs w:val="21"/>
                    </w:rPr>
                    <w:t>型号</w:t>
                  </w:r>
                </w:p>
              </w:tc>
              <w:tc>
                <w:tcPr>
                  <w:tcW w:w="2174" w:type="dxa"/>
                  <w:gridSpan w:val="3"/>
                  <w:vAlign w:val="center"/>
                </w:tcPr>
                <w:p>
                  <w:pPr>
                    <w:pStyle w:val="54"/>
                    <w:jc w:val="center"/>
                  </w:pPr>
                  <w:r>
                    <w:rPr>
                      <w:rFonts w:ascii="Times New Roman" w:hAnsi="Times New Roman" w:cs="Times New Roman"/>
                      <w:sz w:val="21"/>
                      <w:szCs w:val="21"/>
                    </w:rPr>
                    <w:t>空间相对位置/m</w:t>
                  </w:r>
                </w:p>
              </w:tc>
              <w:tc>
                <w:tcPr>
                  <w:tcW w:w="1139" w:type="dxa"/>
                  <w:vMerge w:val="restart"/>
                  <w:vAlign w:val="center"/>
                </w:tcPr>
                <w:p>
                  <w:pPr>
                    <w:pStyle w:val="54"/>
                    <w:jc w:val="center"/>
                    <w:rPr>
                      <w:rFonts w:hint="eastAsia" w:eastAsia="宋体"/>
                      <w:lang w:eastAsia="zh-CN"/>
                    </w:rPr>
                  </w:pPr>
                  <w:r>
                    <w:rPr>
                      <w:rFonts w:ascii="Times New Roman" w:hAnsi="Times New Roman" w:cs="Times New Roman"/>
                      <w:sz w:val="21"/>
                      <w:szCs w:val="21"/>
                    </w:rPr>
                    <w:t>声源源强/dB</w:t>
                  </w:r>
                  <w:r>
                    <w:rPr>
                      <w:rFonts w:hint="eastAsia" w:ascii="Times New Roman" w:hAnsi="Times New Roman" w:cs="Times New Roman"/>
                      <w:sz w:val="21"/>
                      <w:szCs w:val="21"/>
                      <w:lang w:eastAsia="zh-CN"/>
                    </w:rPr>
                    <w:t>（</w:t>
                  </w:r>
                  <w:r>
                    <w:rPr>
                      <w:rFonts w:ascii="Times New Roman" w:hAnsi="Times New Roman" w:cs="Times New Roman"/>
                      <w:sz w:val="21"/>
                      <w:szCs w:val="21"/>
                    </w:rPr>
                    <w:t>A</w:t>
                  </w:r>
                  <w:r>
                    <w:rPr>
                      <w:rFonts w:hint="eastAsia" w:ascii="Times New Roman" w:hAnsi="Times New Roman" w:cs="Times New Roman"/>
                      <w:sz w:val="21"/>
                      <w:szCs w:val="21"/>
                      <w:lang w:eastAsia="zh-CN"/>
                    </w:rPr>
                    <w:t>）</w:t>
                  </w:r>
                </w:p>
              </w:tc>
              <w:tc>
                <w:tcPr>
                  <w:tcW w:w="1259" w:type="dxa"/>
                  <w:vMerge w:val="restart"/>
                  <w:vAlign w:val="center"/>
                </w:tcPr>
                <w:p>
                  <w:pPr>
                    <w:pStyle w:val="54"/>
                    <w:jc w:val="center"/>
                  </w:pPr>
                  <w:r>
                    <w:rPr>
                      <w:rFonts w:ascii="Times New Roman" w:hAnsi="Times New Roman" w:cs="Times New Roman"/>
                      <w:sz w:val="21"/>
                      <w:szCs w:val="21"/>
                    </w:rPr>
                    <w:t>声源控制措施</w:t>
                  </w:r>
                </w:p>
              </w:tc>
              <w:tc>
                <w:tcPr>
                  <w:tcW w:w="691" w:type="dxa"/>
                  <w:vMerge w:val="restart"/>
                  <w:vAlign w:val="center"/>
                </w:tcPr>
                <w:p>
                  <w:pPr>
                    <w:pStyle w:val="54"/>
                    <w:jc w:val="center"/>
                  </w:pPr>
                  <w:r>
                    <w:rPr>
                      <w:rFonts w:ascii="Times New Roman" w:hAnsi="Times New Roman" w:cs="Times New Roman"/>
                      <w:sz w:val="21"/>
                      <w:szCs w:val="21"/>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pPr>
                    <w:autoSpaceDE w:val="0"/>
                    <w:autoSpaceDN w:val="0"/>
                    <w:spacing w:line="240" w:lineRule="auto"/>
                    <w:jc w:val="center"/>
                    <w:rPr>
                      <w:rFonts w:eastAsia="宋体"/>
                    </w:rPr>
                  </w:pPr>
                </w:p>
              </w:tc>
              <w:tc>
                <w:tcPr>
                  <w:tcW w:w="1108" w:type="dxa"/>
                  <w:vMerge w:val="continue"/>
                  <w:vAlign w:val="center"/>
                </w:tcPr>
                <w:p>
                  <w:pPr>
                    <w:autoSpaceDE w:val="0"/>
                    <w:autoSpaceDN w:val="0"/>
                    <w:spacing w:line="240" w:lineRule="auto"/>
                    <w:jc w:val="center"/>
                    <w:rPr>
                      <w:rFonts w:eastAsia="宋体"/>
                    </w:rPr>
                  </w:pPr>
                </w:p>
              </w:tc>
              <w:tc>
                <w:tcPr>
                  <w:tcW w:w="560" w:type="dxa"/>
                  <w:vMerge w:val="continue"/>
                  <w:vAlign w:val="center"/>
                </w:tcPr>
                <w:p>
                  <w:pPr>
                    <w:autoSpaceDE w:val="0"/>
                    <w:autoSpaceDN w:val="0"/>
                    <w:spacing w:line="240" w:lineRule="auto"/>
                    <w:jc w:val="center"/>
                    <w:rPr>
                      <w:rFonts w:eastAsia="宋体"/>
                    </w:rPr>
                  </w:pPr>
                </w:p>
              </w:tc>
              <w:tc>
                <w:tcPr>
                  <w:tcW w:w="741" w:type="dxa"/>
                  <w:vAlign w:val="center"/>
                </w:tcPr>
                <w:p>
                  <w:pPr>
                    <w:pStyle w:val="54"/>
                    <w:jc w:val="center"/>
                  </w:pPr>
                  <w:r>
                    <w:rPr>
                      <w:rFonts w:ascii="Times New Roman" w:hAnsi="Times New Roman" w:cs="Times New Roman"/>
                      <w:sz w:val="21"/>
                      <w:szCs w:val="21"/>
                    </w:rPr>
                    <w:t>X</w:t>
                  </w:r>
                </w:p>
              </w:tc>
              <w:tc>
                <w:tcPr>
                  <w:tcW w:w="636" w:type="dxa"/>
                  <w:vAlign w:val="center"/>
                </w:tcPr>
                <w:p>
                  <w:pPr>
                    <w:pStyle w:val="54"/>
                    <w:jc w:val="center"/>
                  </w:pPr>
                  <w:r>
                    <w:rPr>
                      <w:rFonts w:ascii="Times New Roman" w:hAnsi="Times New Roman" w:cs="Times New Roman"/>
                      <w:sz w:val="21"/>
                      <w:szCs w:val="21"/>
                    </w:rPr>
                    <w:t>Y</w:t>
                  </w:r>
                </w:p>
              </w:tc>
              <w:tc>
                <w:tcPr>
                  <w:tcW w:w="797" w:type="dxa"/>
                  <w:vAlign w:val="center"/>
                </w:tcPr>
                <w:p>
                  <w:pPr>
                    <w:pStyle w:val="54"/>
                    <w:jc w:val="center"/>
                  </w:pPr>
                  <w:r>
                    <w:rPr>
                      <w:rFonts w:ascii="Times New Roman" w:hAnsi="Times New Roman" w:cs="Times New Roman"/>
                      <w:sz w:val="21"/>
                      <w:szCs w:val="21"/>
                    </w:rPr>
                    <w:t>Z</w:t>
                  </w:r>
                </w:p>
              </w:tc>
              <w:tc>
                <w:tcPr>
                  <w:tcW w:w="1139" w:type="dxa"/>
                  <w:vMerge w:val="continue"/>
                  <w:vAlign w:val="center"/>
                </w:tcPr>
                <w:p>
                  <w:pPr>
                    <w:autoSpaceDE w:val="0"/>
                    <w:autoSpaceDN w:val="0"/>
                    <w:spacing w:line="240" w:lineRule="auto"/>
                    <w:jc w:val="center"/>
                    <w:rPr>
                      <w:rFonts w:eastAsia="宋体"/>
                    </w:rPr>
                  </w:pPr>
                </w:p>
              </w:tc>
              <w:tc>
                <w:tcPr>
                  <w:tcW w:w="1259" w:type="dxa"/>
                  <w:vMerge w:val="continue"/>
                  <w:vAlign w:val="center"/>
                </w:tcPr>
                <w:p>
                  <w:pPr>
                    <w:autoSpaceDE w:val="0"/>
                    <w:autoSpaceDN w:val="0"/>
                    <w:spacing w:line="240" w:lineRule="auto"/>
                    <w:jc w:val="center"/>
                    <w:rPr>
                      <w:rFonts w:eastAsia="宋体"/>
                    </w:rPr>
                  </w:pPr>
                </w:p>
              </w:tc>
              <w:tc>
                <w:tcPr>
                  <w:tcW w:w="691" w:type="dxa"/>
                  <w:vMerge w:val="continue"/>
                  <w:vAlign w:val="center"/>
                </w:tcPr>
                <w:p>
                  <w:pPr>
                    <w:autoSpaceDE w:val="0"/>
                    <w:autoSpaceDN w:val="0"/>
                    <w:spacing w:line="240" w:lineRule="auto"/>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pPr>
                    <w:pStyle w:val="54"/>
                    <w:jc w:val="center"/>
                  </w:pPr>
                  <w:r>
                    <w:rPr>
                      <w:rFonts w:ascii="Times New Roman" w:hAnsi="Times New Roman" w:cs="Times New Roman"/>
                      <w:sz w:val="21"/>
                      <w:szCs w:val="21"/>
                    </w:rPr>
                    <w:t>1</w:t>
                  </w:r>
                </w:p>
              </w:tc>
              <w:tc>
                <w:tcPr>
                  <w:tcW w:w="1108" w:type="dxa"/>
                  <w:vAlign w:val="center"/>
                </w:tcPr>
                <w:p>
                  <w:pPr>
                    <w:pStyle w:val="54"/>
                    <w:jc w:val="center"/>
                    <w:rPr>
                      <w:lang w:eastAsia="zh-CN"/>
                    </w:rPr>
                  </w:pPr>
                  <w:r>
                    <w:rPr>
                      <w:rFonts w:ascii="Times New Roman" w:hAnsi="Times New Roman" w:cs="Times New Roman"/>
                      <w:sz w:val="21"/>
                      <w:szCs w:val="21"/>
                    </w:rPr>
                    <w:t>18套空调外机</w:t>
                  </w:r>
                  <w:r>
                    <w:rPr>
                      <w:rFonts w:hint="eastAsia" w:ascii="Times New Roman" w:hAnsi="Times New Roman" w:cs="Times New Roman"/>
                      <w:sz w:val="21"/>
                      <w:szCs w:val="21"/>
                      <w:lang w:eastAsia="zh-CN"/>
                    </w:rPr>
                    <w:t>组</w:t>
                  </w:r>
                </w:p>
              </w:tc>
              <w:tc>
                <w:tcPr>
                  <w:tcW w:w="560" w:type="dxa"/>
                  <w:vAlign w:val="center"/>
                </w:tcPr>
                <w:p>
                  <w:pPr>
                    <w:pStyle w:val="54"/>
                    <w:jc w:val="center"/>
                  </w:pPr>
                  <w:r>
                    <w:rPr>
                      <w:rFonts w:ascii="Times New Roman" w:hAnsi="Times New Roman" w:cs="Times New Roman"/>
                      <w:sz w:val="21"/>
                      <w:szCs w:val="21"/>
                    </w:rPr>
                    <w:t>/</w:t>
                  </w:r>
                </w:p>
              </w:tc>
              <w:tc>
                <w:tcPr>
                  <w:tcW w:w="741" w:type="dxa"/>
                  <w:vAlign w:val="center"/>
                </w:tcPr>
                <w:p>
                  <w:pPr>
                    <w:pStyle w:val="54"/>
                    <w:jc w:val="center"/>
                  </w:pPr>
                  <w:r>
                    <w:rPr>
                      <w:rFonts w:ascii="Times New Roman" w:hAnsi="Times New Roman" w:cs="Times New Roman"/>
                      <w:sz w:val="21"/>
                      <w:szCs w:val="21"/>
                    </w:rPr>
                    <w:t>/</w:t>
                  </w:r>
                </w:p>
              </w:tc>
              <w:tc>
                <w:tcPr>
                  <w:tcW w:w="636" w:type="dxa"/>
                  <w:vAlign w:val="center"/>
                </w:tcPr>
                <w:p>
                  <w:pPr>
                    <w:pStyle w:val="54"/>
                    <w:jc w:val="center"/>
                  </w:pPr>
                  <w:r>
                    <w:rPr>
                      <w:rFonts w:ascii="Times New Roman" w:hAnsi="Times New Roman" w:cs="Times New Roman"/>
                      <w:sz w:val="21"/>
                      <w:szCs w:val="21"/>
                    </w:rPr>
                    <w:t>/</w:t>
                  </w:r>
                </w:p>
              </w:tc>
              <w:tc>
                <w:tcPr>
                  <w:tcW w:w="797" w:type="dxa"/>
                  <w:vAlign w:val="center"/>
                </w:tcPr>
                <w:p>
                  <w:pPr>
                    <w:pStyle w:val="54"/>
                    <w:jc w:val="center"/>
                  </w:pPr>
                  <w:r>
                    <w:rPr>
                      <w:rFonts w:ascii="Times New Roman" w:hAnsi="Times New Roman" w:cs="Times New Roman"/>
                      <w:sz w:val="21"/>
                      <w:szCs w:val="21"/>
                    </w:rPr>
                    <w:t>/</w:t>
                  </w:r>
                </w:p>
              </w:tc>
              <w:tc>
                <w:tcPr>
                  <w:tcW w:w="1139" w:type="dxa"/>
                  <w:vAlign w:val="center"/>
                </w:tcPr>
                <w:p>
                  <w:pPr>
                    <w:pStyle w:val="54"/>
                    <w:jc w:val="center"/>
                  </w:pPr>
                  <w:r>
                    <w:rPr>
                      <w:rFonts w:ascii="Times New Roman" w:hAnsi="Times New Roman" w:cs="Times New Roman"/>
                      <w:sz w:val="21"/>
                      <w:szCs w:val="21"/>
                    </w:rPr>
                    <w:t>75</w:t>
                  </w:r>
                </w:p>
              </w:tc>
              <w:tc>
                <w:tcPr>
                  <w:tcW w:w="1259" w:type="dxa"/>
                  <w:vAlign w:val="center"/>
                </w:tcPr>
                <w:p>
                  <w:pPr>
                    <w:pStyle w:val="54"/>
                    <w:jc w:val="center"/>
                    <w:rPr>
                      <w:lang w:eastAsia="zh-CN"/>
                    </w:rPr>
                  </w:pPr>
                  <w:r>
                    <w:rPr>
                      <w:rFonts w:ascii="Times New Roman" w:hAnsi="Times New Roman" w:cs="Times New Roman"/>
                      <w:sz w:val="21"/>
                      <w:szCs w:val="21"/>
                      <w:lang w:eastAsia="zh-CN"/>
                    </w:rPr>
                    <w:t>设置设备基础隔振或壳体阻尼减振，如减震垫</w:t>
                  </w:r>
                </w:p>
              </w:tc>
              <w:tc>
                <w:tcPr>
                  <w:tcW w:w="691" w:type="dxa"/>
                  <w:vMerge w:val="restart"/>
                  <w:vAlign w:val="center"/>
                </w:tcPr>
                <w:p>
                  <w:pPr>
                    <w:pStyle w:val="54"/>
                    <w:jc w:val="center"/>
                  </w:pPr>
                  <w:r>
                    <w:rPr>
                      <w:rFonts w:ascii="Times New Roman" w:hAnsi="Times New Roman" w:cs="Times New Roman"/>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pPr>
                    <w:pStyle w:val="54"/>
                    <w:jc w:val="center"/>
                  </w:pPr>
                  <w:r>
                    <w:rPr>
                      <w:rFonts w:ascii="Times New Roman" w:hAnsi="Times New Roman" w:cs="Times New Roman"/>
                      <w:sz w:val="21"/>
                      <w:szCs w:val="21"/>
                    </w:rPr>
                    <w:t>2</w:t>
                  </w:r>
                </w:p>
              </w:tc>
              <w:tc>
                <w:tcPr>
                  <w:tcW w:w="1108" w:type="dxa"/>
                  <w:vAlign w:val="center"/>
                </w:tcPr>
                <w:p>
                  <w:pPr>
                    <w:pStyle w:val="54"/>
                    <w:jc w:val="center"/>
                  </w:pPr>
                  <w:r>
                    <w:rPr>
                      <w:rFonts w:ascii="Times New Roman" w:hAnsi="Times New Roman" w:cs="Times New Roman"/>
                      <w:sz w:val="21"/>
                      <w:szCs w:val="21"/>
                    </w:rPr>
                    <w:t>排烟、排风设备</w:t>
                  </w:r>
                </w:p>
              </w:tc>
              <w:tc>
                <w:tcPr>
                  <w:tcW w:w="560" w:type="dxa"/>
                  <w:vAlign w:val="center"/>
                </w:tcPr>
                <w:p>
                  <w:pPr>
                    <w:pStyle w:val="54"/>
                    <w:jc w:val="center"/>
                  </w:pPr>
                  <w:r>
                    <w:rPr>
                      <w:rFonts w:ascii="Times New Roman" w:hAnsi="Times New Roman" w:cs="Times New Roman"/>
                      <w:sz w:val="21"/>
                      <w:szCs w:val="21"/>
                    </w:rPr>
                    <w:t>/</w:t>
                  </w:r>
                </w:p>
              </w:tc>
              <w:tc>
                <w:tcPr>
                  <w:tcW w:w="741" w:type="dxa"/>
                  <w:vAlign w:val="center"/>
                </w:tcPr>
                <w:p>
                  <w:pPr>
                    <w:pStyle w:val="54"/>
                    <w:jc w:val="center"/>
                  </w:pPr>
                  <w:r>
                    <w:rPr>
                      <w:rFonts w:ascii="Times New Roman" w:hAnsi="Times New Roman" w:cs="Times New Roman"/>
                      <w:sz w:val="21"/>
                      <w:szCs w:val="21"/>
                    </w:rPr>
                    <w:t>/</w:t>
                  </w:r>
                </w:p>
              </w:tc>
              <w:tc>
                <w:tcPr>
                  <w:tcW w:w="636" w:type="dxa"/>
                  <w:vAlign w:val="center"/>
                </w:tcPr>
                <w:p>
                  <w:pPr>
                    <w:pStyle w:val="54"/>
                    <w:jc w:val="center"/>
                  </w:pPr>
                  <w:r>
                    <w:rPr>
                      <w:rFonts w:ascii="Times New Roman" w:hAnsi="Times New Roman" w:cs="Times New Roman"/>
                      <w:sz w:val="21"/>
                      <w:szCs w:val="21"/>
                    </w:rPr>
                    <w:t>/</w:t>
                  </w:r>
                </w:p>
              </w:tc>
              <w:tc>
                <w:tcPr>
                  <w:tcW w:w="797" w:type="dxa"/>
                  <w:vAlign w:val="center"/>
                </w:tcPr>
                <w:p>
                  <w:pPr>
                    <w:pStyle w:val="54"/>
                    <w:jc w:val="center"/>
                    <w:rPr>
                      <w:rFonts w:hint="default" w:eastAsia="宋体"/>
                      <w:lang w:val="en-US" w:eastAsia="zh-CN"/>
                    </w:rPr>
                  </w:pPr>
                  <w:r>
                    <w:rPr>
                      <w:rFonts w:hint="eastAsia" w:ascii="Times New Roman" w:hAnsi="Times New Roman" w:cs="Times New Roman"/>
                      <w:sz w:val="21"/>
                      <w:szCs w:val="21"/>
                      <w:lang w:val="en-US" w:eastAsia="zh-CN"/>
                    </w:rPr>
                    <w:t>15</w:t>
                  </w:r>
                </w:p>
              </w:tc>
              <w:tc>
                <w:tcPr>
                  <w:tcW w:w="1139" w:type="dxa"/>
                  <w:vAlign w:val="center"/>
                </w:tcPr>
                <w:p>
                  <w:pPr>
                    <w:pStyle w:val="54"/>
                    <w:jc w:val="center"/>
                  </w:pPr>
                  <w:r>
                    <w:rPr>
                      <w:rFonts w:ascii="Times New Roman" w:hAnsi="Times New Roman" w:cs="Times New Roman"/>
                      <w:sz w:val="21"/>
                      <w:szCs w:val="21"/>
                    </w:rPr>
                    <w:t>80</w:t>
                  </w:r>
                </w:p>
              </w:tc>
              <w:tc>
                <w:tcPr>
                  <w:tcW w:w="1259" w:type="dxa"/>
                  <w:vMerge w:val="restart"/>
                  <w:vAlign w:val="center"/>
                </w:tcPr>
                <w:p>
                  <w:pPr>
                    <w:pStyle w:val="54"/>
                    <w:jc w:val="center"/>
                  </w:pPr>
                  <w:r>
                    <w:rPr>
                      <w:rFonts w:ascii="Times New Roman" w:hAnsi="Times New Roman" w:cs="Times New Roman"/>
                      <w:sz w:val="21"/>
                      <w:szCs w:val="21"/>
                    </w:rPr>
                    <w:t>减振、消声器</w:t>
                  </w:r>
                </w:p>
              </w:tc>
              <w:tc>
                <w:tcPr>
                  <w:tcW w:w="691" w:type="dxa"/>
                  <w:vMerge w:val="continue"/>
                  <w:vAlign w:val="center"/>
                </w:tcPr>
                <w:p>
                  <w:pPr>
                    <w:autoSpaceDE w:val="0"/>
                    <w:autoSpaceDN w:val="0"/>
                    <w:spacing w:line="240" w:lineRule="auto"/>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pPr>
                    <w:pStyle w:val="54"/>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w:t>
                  </w:r>
                </w:p>
              </w:tc>
              <w:tc>
                <w:tcPr>
                  <w:tcW w:w="1108" w:type="dxa"/>
                  <w:vAlign w:val="center"/>
                </w:tcPr>
                <w:p>
                  <w:pPr>
                    <w:pStyle w:val="54"/>
                    <w:jc w:val="center"/>
                    <w:rPr>
                      <w:rFonts w:ascii="Times New Roman" w:hAnsi="Times New Roman" w:cs="Times New Roman"/>
                      <w:sz w:val="21"/>
                      <w:szCs w:val="21"/>
                    </w:rPr>
                  </w:pPr>
                  <w:r>
                    <w:rPr>
                      <w:rFonts w:hint="eastAsia" w:ascii="Times New Roman" w:hAnsi="Times New Roman" w:eastAsia="宋体" w:cs="Times New Roman"/>
                      <w:sz w:val="21"/>
                      <w:szCs w:val="21"/>
                    </w:rPr>
                    <w:t>潜水排污泵</w:t>
                  </w:r>
                </w:p>
              </w:tc>
              <w:tc>
                <w:tcPr>
                  <w:tcW w:w="560" w:type="dxa"/>
                  <w:vAlign w:val="center"/>
                </w:tcPr>
                <w:p>
                  <w:pPr>
                    <w:pStyle w:val="54"/>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741" w:type="dxa"/>
                  <w:vAlign w:val="center"/>
                </w:tcPr>
                <w:p>
                  <w:pPr>
                    <w:pStyle w:val="54"/>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636" w:type="dxa"/>
                  <w:vAlign w:val="center"/>
                </w:tcPr>
                <w:p>
                  <w:pPr>
                    <w:pStyle w:val="54"/>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797" w:type="dxa"/>
                  <w:vAlign w:val="center"/>
                </w:tcPr>
                <w:p>
                  <w:pPr>
                    <w:pStyle w:val="54"/>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139" w:type="dxa"/>
                  <w:vAlign w:val="center"/>
                </w:tcPr>
                <w:p>
                  <w:pPr>
                    <w:pStyle w:val="54"/>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75</w:t>
                  </w:r>
                </w:p>
              </w:tc>
              <w:tc>
                <w:tcPr>
                  <w:tcW w:w="1259" w:type="dxa"/>
                  <w:vMerge w:val="continue"/>
                  <w:vAlign w:val="center"/>
                </w:tcPr>
                <w:p>
                  <w:pPr>
                    <w:pStyle w:val="54"/>
                    <w:jc w:val="center"/>
                    <w:rPr>
                      <w:rFonts w:ascii="Times New Roman" w:hAnsi="Times New Roman" w:cs="Times New Roman"/>
                      <w:sz w:val="21"/>
                      <w:szCs w:val="21"/>
                    </w:rPr>
                  </w:pPr>
                </w:p>
              </w:tc>
              <w:tc>
                <w:tcPr>
                  <w:tcW w:w="691" w:type="dxa"/>
                  <w:vMerge w:val="continue"/>
                  <w:vAlign w:val="center"/>
                </w:tcPr>
                <w:p>
                  <w:pPr>
                    <w:autoSpaceDE w:val="0"/>
                    <w:autoSpaceDN w:val="0"/>
                    <w:spacing w:line="240" w:lineRule="auto"/>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pPr>
                    <w:pStyle w:val="54"/>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w:t>
                  </w:r>
                </w:p>
              </w:tc>
              <w:tc>
                <w:tcPr>
                  <w:tcW w:w="1108" w:type="dxa"/>
                  <w:vAlign w:val="center"/>
                </w:tcPr>
                <w:p>
                  <w:pPr>
                    <w:pStyle w:val="54"/>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消防设备</w:t>
                  </w:r>
                </w:p>
              </w:tc>
              <w:tc>
                <w:tcPr>
                  <w:tcW w:w="560" w:type="dxa"/>
                  <w:vAlign w:val="center"/>
                </w:tcPr>
                <w:p>
                  <w:pPr>
                    <w:pStyle w:val="54"/>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741" w:type="dxa"/>
                  <w:vAlign w:val="center"/>
                </w:tcPr>
                <w:p>
                  <w:pPr>
                    <w:pStyle w:val="54"/>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636" w:type="dxa"/>
                  <w:vAlign w:val="center"/>
                </w:tcPr>
                <w:p>
                  <w:pPr>
                    <w:pStyle w:val="54"/>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797" w:type="dxa"/>
                  <w:vAlign w:val="center"/>
                </w:tcPr>
                <w:p>
                  <w:pPr>
                    <w:pStyle w:val="54"/>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139" w:type="dxa"/>
                  <w:vAlign w:val="center"/>
                </w:tcPr>
                <w:p>
                  <w:pPr>
                    <w:pStyle w:val="54"/>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80</w:t>
                  </w:r>
                </w:p>
              </w:tc>
              <w:tc>
                <w:tcPr>
                  <w:tcW w:w="1259" w:type="dxa"/>
                  <w:vMerge w:val="continue"/>
                  <w:vAlign w:val="center"/>
                </w:tcPr>
                <w:p>
                  <w:pPr>
                    <w:pStyle w:val="54"/>
                    <w:jc w:val="center"/>
                    <w:rPr>
                      <w:rFonts w:ascii="Times New Roman" w:hAnsi="Times New Roman" w:cs="Times New Roman"/>
                      <w:sz w:val="21"/>
                      <w:szCs w:val="21"/>
                    </w:rPr>
                  </w:pPr>
                </w:p>
              </w:tc>
              <w:tc>
                <w:tcPr>
                  <w:tcW w:w="691" w:type="dxa"/>
                  <w:vMerge w:val="continue"/>
                  <w:vAlign w:val="center"/>
                </w:tcPr>
                <w:p>
                  <w:pPr>
                    <w:autoSpaceDE w:val="0"/>
                    <w:autoSpaceDN w:val="0"/>
                    <w:spacing w:line="240" w:lineRule="auto"/>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pPr>
                    <w:pStyle w:val="54"/>
                    <w:jc w:val="center"/>
                    <w:rPr>
                      <w:rFonts w:hint="eastAsia" w:eastAsia="宋体"/>
                      <w:lang w:eastAsia="zh-CN"/>
                    </w:rPr>
                  </w:pPr>
                  <w:r>
                    <w:rPr>
                      <w:rFonts w:hint="eastAsia" w:ascii="Times New Roman" w:hAnsi="Times New Roman" w:cs="Times New Roman"/>
                      <w:sz w:val="21"/>
                      <w:szCs w:val="21"/>
                      <w:lang w:val="en-US" w:eastAsia="zh-CN"/>
                    </w:rPr>
                    <w:t>5</w:t>
                  </w:r>
                </w:p>
              </w:tc>
              <w:tc>
                <w:tcPr>
                  <w:tcW w:w="1108" w:type="dxa"/>
                  <w:vAlign w:val="center"/>
                </w:tcPr>
                <w:p>
                  <w:pPr>
                    <w:pStyle w:val="54"/>
                    <w:jc w:val="center"/>
                  </w:pPr>
                  <w:r>
                    <w:rPr>
                      <w:rFonts w:ascii="Times New Roman" w:hAnsi="Times New Roman" w:cs="Times New Roman"/>
                      <w:sz w:val="21"/>
                      <w:szCs w:val="21"/>
                    </w:rPr>
                    <w:t>食堂油烟风机</w:t>
                  </w:r>
                </w:p>
              </w:tc>
              <w:tc>
                <w:tcPr>
                  <w:tcW w:w="560" w:type="dxa"/>
                  <w:vAlign w:val="center"/>
                </w:tcPr>
                <w:p>
                  <w:pPr>
                    <w:pStyle w:val="54"/>
                    <w:jc w:val="center"/>
                  </w:pPr>
                  <w:r>
                    <w:rPr>
                      <w:rFonts w:ascii="Times New Roman" w:hAnsi="Times New Roman" w:cs="Times New Roman"/>
                      <w:sz w:val="21"/>
                      <w:szCs w:val="21"/>
                    </w:rPr>
                    <w:t>/</w:t>
                  </w:r>
                </w:p>
              </w:tc>
              <w:tc>
                <w:tcPr>
                  <w:tcW w:w="741" w:type="dxa"/>
                  <w:vAlign w:val="center"/>
                </w:tcPr>
                <w:p>
                  <w:pPr>
                    <w:pStyle w:val="54"/>
                    <w:jc w:val="center"/>
                    <w:rPr>
                      <w:lang w:eastAsia="zh-CN"/>
                    </w:rPr>
                  </w:pPr>
                  <w:r>
                    <w:rPr>
                      <w:rFonts w:hint="eastAsia" w:ascii="Times New Roman" w:hAnsi="Times New Roman" w:cs="Times New Roman"/>
                      <w:sz w:val="21"/>
                      <w:szCs w:val="21"/>
                      <w:lang w:eastAsia="zh-CN"/>
                    </w:rPr>
                    <w:t>25</w:t>
                  </w:r>
                </w:p>
              </w:tc>
              <w:tc>
                <w:tcPr>
                  <w:tcW w:w="636" w:type="dxa"/>
                  <w:vAlign w:val="center"/>
                </w:tcPr>
                <w:p>
                  <w:pPr>
                    <w:pStyle w:val="54"/>
                    <w:jc w:val="center"/>
                    <w:rPr>
                      <w:lang w:eastAsia="zh-CN"/>
                    </w:rPr>
                  </w:pPr>
                  <w:r>
                    <w:rPr>
                      <w:rFonts w:hint="eastAsia" w:ascii="Times New Roman" w:hAnsi="Times New Roman" w:cs="Times New Roman"/>
                      <w:sz w:val="21"/>
                      <w:szCs w:val="21"/>
                      <w:lang w:eastAsia="zh-CN"/>
                    </w:rPr>
                    <w:t>5</w:t>
                  </w:r>
                </w:p>
              </w:tc>
              <w:tc>
                <w:tcPr>
                  <w:tcW w:w="797" w:type="dxa"/>
                  <w:vAlign w:val="center"/>
                </w:tcPr>
                <w:p>
                  <w:pPr>
                    <w:pStyle w:val="54"/>
                    <w:jc w:val="center"/>
                    <w:rPr>
                      <w:rFonts w:hint="default" w:eastAsia="宋体"/>
                      <w:lang w:val="en-US" w:eastAsia="zh-CN"/>
                    </w:rPr>
                  </w:pPr>
                  <w:r>
                    <w:rPr>
                      <w:rFonts w:hint="eastAsia" w:ascii="Times New Roman" w:hAnsi="Times New Roman" w:cs="Times New Roman"/>
                      <w:sz w:val="21"/>
                      <w:szCs w:val="21"/>
                      <w:lang w:val="en-US" w:eastAsia="zh-CN"/>
                    </w:rPr>
                    <w:t>15</w:t>
                  </w:r>
                </w:p>
              </w:tc>
              <w:tc>
                <w:tcPr>
                  <w:tcW w:w="1139" w:type="dxa"/>
                  <w:vAlign w:val="center"/>
                </w:tcPr>
                <w:p>
                  <w:pPr>
                    <w:pStyle w:val="54"/>
                    <w:jc w:val="center"/>
                  </w:pPr>
                  <w:r>
                    <w:rPr>
                      <w:rFonts w:ascii="Times New Roman" w:hAnsi="Times New Roman" w:cs="Times New Roman"/>
                      <w:sz w:val="21"/>
                      <w:szCs w:val="21"/>
                    </w:rPr>
                    <w:t>78</w:t>
                  </w:r>
                </w:p>
              </w:tc>
              <w:tc>
                <w:tcPr>
                  <w:tcW w:w="1259" w:type="dxa"/>
                  <w:vMerge w:val="continue"/>
                  <w:vAlign w:val="center"/>
                </w:tcPr>
                <w:p>
                  <w:pPr>
                    <w:autoSpaceDE w:val="0"/>
                    <w:autoSpaceDN w:val="0"/>
                    <w:spacing w:line="240" w:lineRule="auto"/>
                    <w:jc w:val="center"/>
                    <w:rPr>
                      <w:rFonts w:eastAsia="宋体"/>
                    </w:rPr>
                  </w:pPr>
                </w:p>
              </w:tc>
              <w:tc>
                <w:tcPr>
                  <w:tcW w:w="691" w:type="dxa"/>
                  <w:vMerge w:val="continue"/>
                  <w:vAlign w:val="center"/>
                </w:tcPr>
                <w:p>
                  <w:pPr>
                    <w:autoSpaceDE w:val="0"/>
                    <w:autoSpaceDN w:val="0"/>
                    <w:spacing w:line="240" w:lineRule="auto"/>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pPr>
                    <w:pStyle w:val="54"/>
                    <w:jc w:val="center"/>
                    <w:rPr>
                      <w:rFonts w:hint="eastAsia" w:eastAsia="宋体"/>
                      <w:lang w:eastAsia="zh-CN"/>
                    </w:rPr>
                  </w:pPr>
                  <w:r>
                    <w:rPr>
                      <w:rFonts w:hint="eastAsia" w:ascii="Times New Roman" w:hAnsi="Times New Roman" w:cs="Times New Roman"/>
                      <w:sz w:val="21"/>
                      <w:szCs w:val="21"/>
                      <w:lang w:val="en-US" w:eastAsia="zh-CN"/>
                    </w:rPr>
                    <w:t>6</w:t>
                  </w:r>
                </w:p>
              </w:tc>
              <w:tc>
                <w:tcPr>
                  <w:tcW w:w="1108" w:type="dxa"/>
                  <w:vAlign w:val="center"/>
                </w:tcPr>
                <w:p>
                  <w:pPr>
                    <w:pStyle w:val="54"/>
                    <w:jc w:val="center"/>
                  </w:pPr>
                  <w:r>
                    <w:rPr>
                      <w:rFonts w:ascii="Times New Roman" w:hAnsi="Times New Roman" w:cs="Times New Roman"/>
                      <w:sz w:val="21"/>
                      <w:szCs w:val="21"/>
                    </w:rPr>
                    <w:t>实验室废气风机</w:t>
                  </w:r>
                </w:p>
              </w:tc>
              <w:tc>
                <w:tcPr>
                  <w:tcW w:w="560" w:type="dxa"/>
                  <w:vAlign w:val="center"/>
                </w:tcPr>
                <w:p>
                  <w:pPr>
                    <w:pStyle w:val="54"/>
                    <w:jc w:val="center"/>
                  </w:pPr>
                  <w:r>
                    <w:rPr>
                      <w:rFonts w:ascii="Times New Roman" w:hAnsi="Times New Roman" w:cs="Times New Roman"/>
                      <w:sz w:val="21"/>
                      <w:szCs w:val="21"/>
                    </w:rPr>
                    <w:t>/</w:t>
                  </w:r>
                </w:p>
              </w:tc>
              <w:tc>
                <w:tcPr>
                  <w:tcW w:w="741" w:type="dxa"/>
                  <w:vAlign w:val="center"/>
                </w:tcPr>
                <w:p>
                  <w:pPr>
                    <w:pStyle w:val="54"/>
                    <w:jc w:val="center"/>
                    <w:rPr>
                      <w:rFonts w:hint="eastAsia" w:eastAsia="宋体"/>
                      <w:lang w:eastAsia="zh-CN"/>
                    </w:rPr>
                  </w:pPr>
                  <w:r>
                    <w:rPr>
                      <w:rFonts w:hint="eastAsia" w:ascii="Times New Roman" w:hAnsi="Times New Roman" w:cs="Times New Roman"/>
                      <w:sz w:val="21"/>
                      <w:szCs w:val="21"/>
                      <w:lang w:val="en-US" w:eastAsia="zh-CN"/>
                    </w:rPr>
                    <w:t>5</w:t>
                  </w:r>
                </w:p>
              </w:tc>
              <w:tc>
                <w:tcPr>
                  <w:tcW w:w="636" w:type="dxa"/>
                  <w:vAlign w:val="center"/>
                </w:tcPr>
                <w:p>
                  <w:pPr>
                    <w:pStyle w:val="54"/>
                    <w:jc w:val="center"/>
                    <w:rPr>
                      <w:lang w:eastAsia="zh-CN"/>
                    </w:rPr>
                  </w:pPr>
                  <w:r>
                    <w:rPr>
                      <w:rFonts w:hint="eastAsia" w:ascii="Times New Roman" w:hAnsi="Times New Roman" w:cs="Times New Roman"/>
                      <w:sz w:val="21"/>
                      <w:szCs w:val="21"/>
                      <w:lang w:eastAsia="zh-CN"/>
                    </w:rPr>
                    <w:t>35</w:t>
                  </w:r>
                </w:p>
              </w:tc>
              <w:tc>
                <w:tcPr>
                  <w:tcW w:w="797" w:type="dxa"/>
                  <w:vAlign w:val="center"/>
                </w:tcPr>
                <w:p>
                  <w:pPr>
                    <w:pStyle w:val="54"/>
                    <w:jc w:val="center"/>
                    <w:rPr>
                      <w:rFonts w:hint="default" w:eastAsia="宋体"/>
                      <w:lang w:val="en-US" w:eastAsia="zh-CN"/>
                    </w:rPr>
                  </w:pPr>
                  <w:r>
                    <w:rPr>
                      <w:rFonts w:hint="eastAsia" w:ascii="Times New Roman" w:hAnsi="Times New Roman" w:cs="Times New Roman"/>
                      <w:sz w:val="21"/>
                      <w:szCs w:val="21"/>
                      <w:lang w:val="en-US" w:eastAsia="zh-CN"/>
                    </w:rPr>
                    <w:t>15</w:t>
                  </w:r>
                </w:p>
              </w:tc>
              <w:tc>
                <w:tcPr>
                  <w:tcW w:w="1139" w:type="dxa"/>
                  <w:vAlign w:val="center"/>
                </w:tcPr>
                <w:p>
                  <w:pPr>
                    <w:pStyle w:val="54"/>
                    <w:jc w:val="center"/>
                  </w:pPr>
                  <w:r>
                    <w:rPr>
                      <w:rFonts w:ascii="Times New Roman" w:hAnsi="Times New Roman" w:cs="Times New Roman"/>
                      <w:sz w:val="21"/>
                      <w:szCs w:val="21"/>
                    </w:rPr>
                    <w:t>78</w:t>
                  </w:r>
                </w:p>
              </w:tc>
              <w:tc>
                <w:tcPr>
                  <w:tcW w:w="1259" w:type="dxa"/>
                  <w:vMerge w:val="continue"/>
                  <w:vAlign w:val="center"/>
                </w:tcPr>
                <w:p>
                  <w:pPr>
                    <w:autoSpaceDE w:val="0"/>
                    <w:autoSpaceDN w:val="0"/>
                    <w:spacing w:line="240" w:lineRule="auto"/>
                    <w:jc w:val="center"/>
                    <w:rPr>
                      <w:rFonts w:eastAsia="宋体"/>
                    </w:rPr>
                  </w:pPr>
                </w:p>
              </w:tc>
              <w:tc>
                <w:tcPr>
                  <w:tcW w:w="691" w:type="dxa"/>
                  <w:vMerge w:val="continue"/>
                  <w:vAlign w:val="center"/>
                </w:tcPr>
                <w:p>
                  <w:pPr>
                    <w:autoSpaceDE w:val="0"/>
                    <w:autoSpaceDN w:val="0"/>
                    <w:spacing w:line="240" w:lineRule="auto"/>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7" w:type="dxa"/>
                  <w:gridSpan w:val="9"/>
                  <w:vAlign w:val="center"/>
                </w:tcPr>
                <w:p>
                  <w:pPr>
                    <w:autoSpaceDE w:val="0"/>
                    <w:autoSpaceDN w:val="0"/>
                    <w:spacing w:line="240" w:lineRule="auto"/>
                    <w:jc w:val="center"/>
                    <w:rPr>
                      <w:rFonts w:eastAsia="宋体"/>
                    </w:rPr>
                  </w:pPr>
                  <w:r>
                    <w:rPr>
                      <w:rFonts w:eastAsia="宋体"/>
                      <w:sz w:val="21"/>
                      <w:szCs w:val="21"/>
                    </w:rPr>
                    <w:t>*</w:t>
                  </w:r>
                  <w:r>
                    <w:rPr>
                      <w:rFonts w:eastAsia="宋体"/>
                      <w:spacing w:val="-9"/>
                      <w:sz w:val="21"/>
                      <w:szCs w:val="21"/>
                    </w:rPr>
                    <w:t>注：本项目空间相对位置以</w:t>
                  </w:r>
                  <w:r>
                    <w:rPr>
                      <w:rFonts w:hint="eastAsia" w:eastAsia="宋体"/>
                      <w:spacing w:val="-12"/>
                      <w:sz w:val="21"/>
                      <w:szCs w:val="21"/>
                    </w:rPr>
                    <w:t>综合楼</w:t>
                  </w:r>
                  <w:r>
                    <w:rPr>
                      <w:rFonts w:eastAsia="宋体"/>
                      <w:sz w:val="21"/>
                      <w:szCs w:val="21"/>
                    </w:rPr>
                    <w:t>1F</w:t>
                  </w:r>
                  <w:r>
                    <w:rPr>
                      <w:rFonts w:eastAsia="宋体"/>
                      <w:spacing w:val="-8"/>
                      <w:sz w:val="21"/>
                      <w:szCs w:val="21"/>
                    </w:rPr>
                    <w:t>中心点为原点，东为</w:t>
                  </w:r>
                  <w:r>
                    <w:rPr>
                      <w:rFonts w:eastAsia="宋体"/>
                      <w:sz w:val="21"/>
                      <w:szCs w:val="21"/>
                    </w:rPr>
                    <w:t>X</w:t>
                  </w:r>
                  <w:r>
                    <w:rPr>
                      <w:rFonts w:eastAsia="宋体"/>
                      <w:spacing w:val="2"/>
                      <w:sz w:val="21"/>
                      <w:szCs w:val="21"/>
                    </w:rPr>
                    <w:t>轴正方向，北为</w:t>
                  </w:r>
                  <w:r>
                    <w:rPr>
                      <w:rFonts w:eastAsia="宋体"/>
                      <w:sz w:val="21"/>
                      <w:szCs w:val="21"/>
                    </w:rPr>
                    <w:t>Y轴正方向，地面以上为Z轴正方向计；由于空调外机等数量较多，故不一一列明其坐标。</w:t>
                  </w:r>
                </w:p>
              </w:tc>
            </w:tr>
          </w:tbl>
          <w:p>
            <w:pPr>
              <w:spacing w:line="440" w:lineRule="exact"/>
              <w:rPr>
                <w:rFonts w:eastAsia="宋体"/>
              </w:rPr>
            </w:pPr>
            <w:r>
              <w:rPr>
                <w:rFonts w:eastAsia="宋体"/>
              </w:rPr>
              <w:t>（2）防治措施</w:t>
            </w:r>
          </w:p>
          <w:p>
            <w:pPr>
              <w:spacing w:line="440" w:lineRule="exact"/>
              <w:ind w:firstLine="480" w:firstLineChars="200"/>
              <w:rPr>
                <w:rFonts w:eastAsia="宋体"/>
              </w:rPr>
            </w:pPr>
            <w:r>
              <w:rPr>
                <w:rFonts w:hint="eastAsia" w:eastAsia="宋体"/>
              </w:rPr>
              <w:t>学校拟采取的隔声、降噪措施如下：</w:t>
            </w:r>
          </w:p>
          <w:p>
            <w:pPr>
              <w:spacing w:line="440" w:lineRule="exact"/>
              <w:ind w:firstLine="480" w:firstLineChars="200"/>
              <w:rPr>
                <w:rFonts w:eastAsia="宋体"/>
              </w:rPr>
            </w:pPr>
            <w:r>
              <w:rPr>
                <w:rFonts w:hint="eastAsia" w:eastAsia="宋体"/>
              </w:rPr>
              <w:t>①加强学校内部交通管理，设立禁鸣标志，限制学校内车辆行驶速度，加强停车位管理，规范车辆进出学校的时间。</w:t>
            </w:r>
          </w:p>
          <w:p>
            <w:pPr>
              <w:spacing w:line="440" w:lineRule="exact"/>
              <w:ind w:firstLine="480" w:firstLineChars="200"/>
              <w:rPr>
                <w:rFonts w:eastAsia="宋体"/>
              </w:rPr>
            </w:pPr>
            <w:r>
              <w:rPr>
                <w:rFonts w:hint="eastAsia" w:eastAsia="宋体"/>
              </w:rPr>
              <w:t>②将水泵房等设置在地下室内，采用实墙构筑，内部铺设吸声材料；油烟净化装置及引风机设置在室内，风口安消声器，引风机设隔声罩等；变压器设置在配电间内，机房采取隔声、防震等措施。</w:t>
            </w:r>
          </w:p>
          <w:p>
            <w:pPr>
              <w:spacing w:line="440" w:lineRule="exact"/>
              <w:ind w:firstLine="480" w:firstLineChars="200"/>
              <w:rPr>
                <w:rFonts w:eastAsia="宋体"/>
              </w:rPr>
            </w:pPr>
            <w:r>
              <w:rPr>
                <w:rFonts w:hint="eastAsia" w:eastAsia="宋体"/>
              </w:rPr>
              <w:t>③合理布局噪声源，尽量将广播喇叭等高噪声设备布置在校园的中央或配备小音量喇叭，分散放置几处，尽量远离周围敏感点；空调系统室外机远离办公教学区域，如在此前提下仍有噪声影响，则后期需要设置隔声屏障或采取减震消音措施。</w:t>
            </w:r>
          </w:p>
          <w:p>
            <w:pPr>
              <w:spacing w:line="440" w:lineRule="exact"/>
              <w:ind w:firstLine="480"/>
              <w:rPr>
                <w:rFonts w:eastAsia="宋体"/>
              </w:rPr>
            </w:pPr>
            <w:r>
              <w:rPr>
                <w:rFonts w:hint="eastAsia" w:eastAsia="宋体"/>
              </w:rPr>
              <w:t>④所有建筑物安装双层隔声窗</w:t>
            </w:r>
            <w:r>
              <w:rPr>
                <w:rFonts w:eastAsia="宋体"/>
              </w:rPr>
              <w:t>。</w:t>
            </w:r>
          </w:p>
          <w:p>
            <w:pPr>
              <w:spacing w:line="440" w:lineRule="exact"/>
              <w:ind w:firstLine="480" w:firstLineChars="200"/>
              <w:rPr>
                <w:rFonts w:eastAsia="宋体"/>
              </w:rPr>
            </w:pPr>
            <w:r>
              <w:rPr>
                <w:rFonts w:eastAsia="宋体"/>
              </w:rPr>
              <w:t>（3）环境影响分析</w:t>
            </w:r>
          </w:p>
          <w:p>
            <w:pPr>
              <w:spacing w:line="440" w:lineRule="exact"/>
              <w:ind w:firstLine="480"/>
              <w:rPr>
                <w:rFonts w:eastAsia="宋体"/>
              </w:rPr>
            </w:pPr>
            <w:r>
              <w:rPr>
                <w:rFonts w:hint="eastAsia" w:eastAsia="宋体"/>
              </w:rPr>
              <w:t>本项目采用《环境影响评价技术导则声环境》（HJ2.4-2021）附录A中推荐的工业噪声预测计算模式—环安噪声环境影响评价系统（Noise System）进行预测分析。</w:t>
            </w:r>
          </w:p>
          <w:p>
            <w:pPr>
              <w:spacing w:line="440" w:lineRule="exact"/>
              <w:ind w:firstLine="480" w:firstLineChars="200"/>
              <w:rPr>
                <w:rFonts w:eastAsia="宋体"/>
              </w:rPr>
            </w:pPr>
            <w:r>
              <w:rPr>
                <w:rFonts w:eastAsia="宋体"/>
              </w:rPr>
              <w:t>项目</w:t>
            </w:r>
            <w:r>
              <w:rPr>
                <w:rFonts w:hint="eastAsia" w:eastAsia="宋体"/>
              </w:rPr>
              <w:t>教学</w:t>
            </w:r>
            <w:r>
              <w:rPr>
                <w:rFonts w:eastAsia="宋体"/>
              </w:rPr>
              <w:t>时间为6</w:t>
            </w:r>
            <w:r>
              <w:rPr>
                <w:rFonts w:hint="eastAsia" w:eastAsia="宋体"/>
                <w:lang w:eastAsia="zh-CN"/>
              </w:rPr>
              <w:t>：</w:t>
            </w:r>
            <w:r>
              <w:rPr>
                <w:rFonts w:eastAsia="宋体"/>
              </w:rPr>
              <w:t>00-22：00，因此本环评对</w:t>
            </w:r>
            <w:r>
              <w:rPr>
                <w:rFonts w:hint="eastAsia" w:eastAsia="宋体"/>
              </w:rPr>
              <w:t>学校场界</w:t>
            </w:r>
            <w:r>
              <w:rPr>
                <w:rFonts w:eastAsia="宋体"/>
              </w:rPr>
              <w:t>昼间噪声影响进行预测，预测结果见表4-</w:t>
            </w:r>
            <w:r>
              <w:rPr>
                <w:rFonts w:hint="eastAsia" w:eastAsia="宋体"/>
              </w:rPr>
              <w:t>11</w:t>
            </w:r>
            <w:r>
              <w:rPr>
                <w:rFonts w:eastAsia="宋体"/>
              </w:rPr>
              <w:t>。</w:t>
            </w:r>
          </w:p>
          <w:p>
            <w:pPr>
              <w:pStyle w:val="5"/>
              <w:spacing w:before="156" w:beforeLines="50"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表4</w:t>
            </w:r>
            <w:r>
              <w:rPr>
                <w:rFonts w:ascii="Times New Roman" w:hAnsi="Times New Roman" w:eastAsia="宋体" w:cs="Times New Roman"/>
                <w:sz w:val="21"/>
                <w:szCs w:val="21"/>
              </w:rPr>
              <w:t>-</w:t>
            </w:r>
            <w:r>
              <w:rPr>
                <w:rFonts w:hint="eastAsia" w:ascii="Times New Roman" w:hAnsi="Times New Roman" w:eastAsia="宋体" w:cs="Times New Roman"/>
                <w:sz w:val="21"/>
                <w:szCs w:val="21"/>
              </w:rPr>
              <w:t>12</w:t>
            </w:r>
            <w:r>
              <w:rPr>
                <w:rFonts w:ascii="Times New Roman" w:hAnsi="Times New Roman" w:eastAsia="宋体" w:cs="Times New Roman"/>
                <w:sz w:val="21"/>
                <w:szCs w:val="21"/>
              </w:rPr>
              <w:t>项目</w:t>
            </w:r>
            <w:r>
              <w:rPr>
                <w:rFonts w:hint="eastAsia" w:ascii="Times New Roman" w:hAnsi="Times New Roman" w:eastAsia="宋体" w:cs="Times New Roman"/>
                <w:sz w:val="21"/>
                <w:szCs w:val="21"/>
              </w:rPr>
              <w:t>场</w:t>
            </w:r>
            <w:r>
              <w:rPr>
                <w:rFonts w:ascii="Times New Roman" w:hAnsi="Times New Roman" w:eastAsia="宋体" w:cs="Times New Roman"/>
                <w:sz w:val="21"/>
                <w:szCs w:val="21"/>
              </w:rPr>
              <w:t>界噪声预测结果一览表单位：dB</w:t>
            </w:r>
            <w:r>
              <w:rPr>
                <w:rFonts w:hint="eastAsia" w:ascii="Times New Roman" w:hAnsi="Times New Roman" w:eastAsia="宋体" w:cs="Times New Roman"/>
                <w:sz w:val="21"/>
                <w:szCs w:val="21"/>
              </w:rPr>
              <w:t>（A）</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1499"/>
              <w:gridCol w:w="1297"/>
              <w:gridCol w:w="1297"/>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1474" w:type="pct"/>
                  <w:vMerge w:val="restart"/>
                  <w:vAlign w:val="center"/>
                </w:tcPr>
                <w:p>
                  <w:pPr>
                    <w:snapToGrid w:val="0"/>
                    <w:spacing w:line="240" w:lineRule="auto"/>
                    <w:jc w:val="center"/>
                    <w:rPr>
                      <w:rFonts w:eastAsia="宋体"/>
                      <w:b/>
                      <w:bCs/>
                      <w:sz w:val="21"/>
                      <w:szCs w:val="21"/>
                    </w:rPr>
                  </w:pPr>
                  <w:r>
                    <w:rPr>
                      <w:rFonts w:eastAsia="宋体"/>
                      <w:b/>
                      <w:bCs/>
                      <w:sz w:val="21"/>
                      <w:szCs w:val="21"/>
                    </w:rPr>
                    <w:t>预测点位</w:t>
                  </w:r>
                </w:p>
              </w:tc>
              <w:tc>
                <w:tcPr>
                  <w:tcW w:w="980" w:type="pct"/>
                  <w:vAlign w:val="center"/>
                </w:tcPr>
                <w:p>
                  <w:pPr>
                    <w:snapToGrid w:val="0"/>
                    <w:spacing w:line="240" w:lineRule="auto"/>
                    <w:jc w:val="center"/>
                    <w:rPr>
                      <w:rFonts w:eastAsia="宋体"/>
                      <w:b/>
                      <w:bCs/>
                      <w:sz w:val="21"/>
                      <w:szCs w:val="21"/>
                    </w:rPr>
                  </w:pPr>
                  <w:r>
                    <w:rPr>
                      <w:rFonts w:eastAsia="宋体"/>
                      <w:b/>
                      <w:bCs/>
                      <w:sz w:val="21"/>
                      <w:szCs w:val="21"/>
                    </w:rPr>
                    <w:t>东厂界</w:t>
                  </w:r>
                </w:p>
              </w:tc>
              <w:tc>
                <w:tcPr>
                  <w:tcW w:w="848" w:type="pct"/>
                  <w:vAlign w:val="center"/>
                </w:tcPr>
                <w:p>
                  <w:pPr>
                    <w:snapToGrid w:val="0"/>
                    <w:spacing w:line="240" w:lineRule="auto"/>
                    <w:jc w:val="center"/>
                    <w:rPr>
                      <w:rFonts w:eastAsia="宋体"/>
                      <w:b/>
                      <w:bCs/>
                      <w:sz w:val="21"/>
                      <w:szCs w:val="21"/>
                    </w:rPr>
                  </w:pPr>
                  <w:r>
                    <w:rPr>
                      <w:rFonts w:eastAsia="宋体"/>
                      <w:b/>
                      <w:bCs/>
                      <w:sz w:val="21"/>
                      <w:szCs w:val="21"/>
                    </w:rPr>
                    <w:t>南厂界</w:t>
                  </w:r>
                </w:p>
              </w:tc>
              <w:tc>
                <w:tcPr>
                  <w:tcW w:w="848" w:type="pct"/>
                  <w:vAlign w:val="center"/>
                </w:tcPr>
                <w:p>
                  <w:pPr>
                    <w:snapToGrid w:val="0"/>
                    <w:spacing w:line="240" w:lineRule="auto"/>
                    <w:jc w:val="center"/>
                    <w:rPr>
                      <w:rFonts w:eastAsia="宋体"/>
                      <w:b/>
                      <w:bCs/>
                      <w:sz w:val="21"/>
                      <w:szCs w:val="21"/>
                    </w:rPr>
                  </w:pPr>
                  <w:r>
                    <w:rPr>
                      <w:rFonts w:eastAsia="宋体"/>
                      <w:b/>
                      <w:bCs/>
                      <w:sz w:val="21"/>
                      <w:szCs w:val="21"/>
                    </w:rPr>
                    <w:t>西厂界</w:t>
                  </w:r>
                </w:p>
              </w:tc>
              <w:tc>
                <w:tcPr>
                  <w:tcW w:w="848" w:type="pct"/>
                  <w:vAlign w:val="center"/>
                </w:tcPr>
                <w:p>
                  <w:pPr>
                    <w:snapToGrid w:val="0"/>
                    <w:spacing w:line="240" w:lineRule="auto"/>
                    <w:jc w:val="center"/>
                    <w:rPr>
                      <w:rFonts w:eastAsia="宋体"/>
                      <w:b/>
                      <w:bCs/>
                      <w:sz w:val="21"/>
                      <w:szCs w:val="21"/>
                    </w:rPr>
                  </w:pPr>
                  <w:r>
                    <w:rPr>
                      <w:rFonts w:eastAsia="宋体"/>
                      <w:b/>
                      <w:bCs/>
                      <w:sz w:val="21"/>
                      <w:szCs w:val="21"/>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74" w:type="pct"/>
                  <w:vMerge w:val="continue"/>
                  <w:vAlign w:val="center"/>
                </w:tcPr>
                <w:p>
                  <w:pPr>
                    <w:snapToGrid w:val="0"/>
                    <w:spacing w:line="240" w:lineRule="auto"/>
                    <w:jc w:val="center"/>
                    <w:rPr>
                      <w:rFonts w:eastAsia="宋体"/>
                      <w:b/>
                      <w:bCs/>
                      <w:sz w:val="21"/>
                      <w:szCs w:val="21"/>
                    </w:rPr>
                  </w:pPr>
                </w:p>
              </w:tc>
              <w:tc>
                <w:tcPr>
                  <w:tcW w:w="980" w:type="pct"/>
                  <w:vAlign w:val="center"/>
                </w:tcPr>
                <w:p>
                  <w:pPr>
                    <w:snapToGrid w:val="0"/>
                    <w:spacing w:line="240" w:lineRule="auto"/>
                    <w:jc w:val="center"/>
                    <w:rPr>
                      <w:rFonts w:eastAsia="宋体"/>
                      <w:b/>
                      <w:bCs/>
                      <w:sz w:val="21"/>
                      <w:szCs w:val="21"/>
                    </w:rPr>
                  </w:pPr>
                  <w:r>
                    <w:rPr>
                      <w:rFonts w:eastAsia="宋体"/>
                      <w:b/>
                      <w:bCs/>
                      <w:sz w:val="21"/>
                      <w:szCs w:val="21"/>
                    </w:rPr>
                    <w:t>昼间</w:t>
                  </w:r>
                </w:p>
              </w:tc>
              <w:tc>
                <w:tcPr>
                  <w:tcW w:w="848" w:type="pct"/>
                  <w:vAlign w:val="center"/>
                </w:tcPr>
                <w:p>
                  <w:pPr>
                    <w:snapToGrid w:val="0"/>
                    <w:spacing w:line="240" w:lineRule="auto"/>
                    <w:jc w:val="center"/>
                    <w:rPr>
                      <w:rFonts w:eastAsia="宋体"/>
                      <w:b/>
                      <w:bCs/>
                      <w:sz w:val="21"/>
                      <w:szCs w:val="21"/>
                    </w:rPr>
                  </w:pPr>
                  <w:r>
                    <w:rPr>
                      <w:rFonts w:eastAsia="宋体"/>
                      <w:b/>
                      <w:bCs/>
                      <w:sz w:val="21"/>
                      <w:szCs w:val="21"/>
                    </w:rPr>
                    <w:t>昼间</w:t>
                  </w:r>
                </w:p>
              </w:tc>
              <w:tc>
                <w:tcPr>
                  <w:tcW w:w="848" w:type="pct"/>
                  <w:vAlign w:val="center"/>
                </w:tcPr>
                <w:p>
                  <w:pPr>
                    <w:snapToGrid w:val="0"/>
                    <w:spacing w:line="240" w:lineRule="auto"/>
                    <w:jc w:val="center"/>
                    <w:rPr>
                      <w:rFonts w:eastAsia="宋体"/>
                      <w:b/>
                      <w:bCs/>
                      <w:sz w:val="21"/>
                      <w:szCs w:val="21"/>
                    </w:rPr>
                  </w:pPr>
                  <w:r>
                    <w:rPr>
                      <w:rFonts w:eastAsia="宋体"/>
                      <w:b/>
                      <w:bCs/>
                      <w:sz w:val="21"/>
                      <w:szCs w:val="21"/>
                    </w:rPr>
                    <w:t>昼间</w:t>
                  </w:r>
                </w:p>
              </w:tc>
              <w:tc>
                <w:tcPr>
                  <w:tcW w:w="848" w:type="pct"/>
                  <w:vAlign w:val="center"/>
                </w:tcPr>
                <w:p>
                  <w:pPr>
                    <w:snapToGrid w:val="0"/>
                    <w:spacing w:line="240" w:lineRule="auto"/>
                    <w:jc w:val="center"/>
                    <w:rPr>
                      <w:rFonts w:eastAsia="宋体"/>
                      <w:b/>
                      <w:bCs/>
                      <w:sz w:val="21"/>
                      <w:szCs w:val="21"/>
                    </w:rPr>
                  </w:pPr>
                  <w:r>
                    <w:rPr>
                      <w:rFonts w:eastAsia="宋体"/>
                      <w:b/>
                      <w:bCs/>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pct"/>
                  <w:vAlign w:val="center"/>
                </w:tcPr>
                <w:p>
                  <w:pPr>
                    <w:snapToGrid w:val="0"/>
                    <w:spacing w:line="240" w:lineRule="auto"/>
                    <w:jc w:val="center"/>
                    <w:rPr>
                      <w:rFonts w:eastAsia="宋体"/>
                      <w:sz w:val="21"/>
                      <w:szCs w:val="21"/>
                    </w:rPr>
                  </w:pPr>
                  <w:r>
                    <w:rPr>
                      <w:rFonts w:eastAsia="宋体"/>
                      <w:sz w:val="21"/>
                      <w:szCs w:val="21"/>
                    </w:rPr>
                    <w:t>贡献值</w:t>
                  </w:r>
                </w:p>
              </w:tc>
              <w:tc>
                <w:tcPr>
                  <w:tcW w:w="980" w:type="pct"/>
                  <w:vAlign w:val="center"/>
                </w:tcPr>
                <w:p>
                  <w:pPr>
                    <w:pStyle w:val="75"/>
                    <w:widowControl w:val="0"/>
                    <w:pBdr>
                      <w:left w:val="none" w:color="auto" w:sz="0" w:space="0"/>
                      <w:bottom w:val="none" w:color="auto" w:sz="0" w:space="0"/>
                      <w:right w:val="none" w:color="auto" w:sz="0" w:space="0"/>
                    </w:pBdr>
                    <w:snapToGrid w:val="0"/>
                    <w:spacing w:before="0" w:beforeAutospacing="0" w:after="0" w:afterAutospacing="0"/>
                    <w:rPr>
                      <w:rFonts w:hint="default" w:ascii="Times New Roman" w:hAnsi="Times New Roman" w:eastAsia="宋体"/>
                      <w:kern w:val="2"/>
                      <w:szCs w:val="21"/>
                      <w:lang w:val="en-US" w:eastAsia="zh-CN"/>
                    </w:rPr>
                  </w:pPr>
                  <w:r>
                    <w:rPr>
                      <w:rFonts w:hint="eastAsia" w:ascii="Times New Roman" w:hAnsi="Times New Roman"/>
                      <w:kern w:val="2"/>
                      <w:szCs w:val="21"/>
                      <w:lang w:val="en-US" w:eastAsia="zh-CN"/>
                    </w:rPr>
                    <w:t>42.6</w:t>
                  </w:r>
                </w:p>
              </w:tc>
              <w:tc>
                <w:tcPr>
                  <w:tcW w:w="848" w:type="pct"/>
                  <w:vAlign w:val="center"/>
                </w:tcPr>
                <w:p>
                  <w:pPr>
                    <w:pStyle w:val="75"/>
                    <w:widowControl w:val="0"/>
                    <w:pBdr>
                      <w:left w:val="none" w:color="auto" w:sz="0" w:space="0"/>
                      <w:bottom w:val="none" w:color="auto" w:sz="0" w:space="0"/>
                      <w:right w:val="none" w:color="auto" w:sz="0" w:space="0"/>
                    </w:pBdr>
                    <w:snapToGrid w:val="0"/>
                    <w:spacing w:before="0" w:beforeAutospacing="0" w:after="0" w:afterAutospacing="0"/>
                    <w:rPr>
                      <w:rFonts w:hint="default" w:ascii="Times New Roman" w:hAnsi="Times New Roman" w:eastAsia="宋体"/>
                      <w:kern w:val="2"/>
                      <w:szCs w:val="21"/>
                      <w:lang w:val="en-US" w:eastAsia="zh-CN"/>
                    </w:rPr>
                  </w:pPr>
                  <w:r>
                    <w:rPr>
                      <w:rFonts w:hint="eastAsia" w:ascii="Times New Roman" w:hAnsi="Times New Roman"/>
                      <w:kern w:val="2"/>
                      <w:szCs w:val="21"/>
                      <w:lang w:val="en-US" w:eastAsia="zh-CN"/>
                    </w:rPr>
                    <w:t>29.0</w:t>
                  </w:r>
                </w:p>
              </w:tc>
              <w:tc>
                <w:tcPr>
                  <w:tcW w:w="848" w:type="pct"/>
                  <w:vAlign w:val="center"/>
                </w:tcPr>
                <w:p>
                  <w:pPr>
                    <w:pStyle w:val="75"/>
                    <w:widowControl w:val="0"/>
                    <w:pBdr>
                      <w:left w:val="none" w:color="auto" w:sz="0" w:space="0"/>
                      <w:bottom w:val="none" w:color="auto" w:sz="0" w:space="0"/>
                      <w:right w:val="none" w:color="auto" w:sz="0" w:space="0"/>
                    </w:pBdr>
                    <w:snapToGrid w:val="0"/>
                    <w:spacing w:before="0" w:beforeAutospacing="0" w:after="0" w:afterAutospacing="0"/>
                    <w:rPr>
                      <w:rFonts w:hint="default" w:ascii="Times New Roman" w:hAnsi="Times New Roman" w:eastAsia="宋体"/>
                      <w:kern w:val="2"/>
                      <w:szCs w:val="21"/>
                      <w:lang w:val="en-US" w:eastAsia="zh-CN"/>
                    </w:rPr>
                  </w:pPr>
                  <w:r>
                    <w:rPr>
                      <w:rFonts w:hint="eastAsia" w:ascii="Times New Roman" w:hAnsi="Times New Roman"/>
                      <w:kern w:val="2"/>
                      <w:szCs w:val="21"/>
                      <w:lang w:val="en-US" w:eastAsia="zh-CN"/>
                    </w:rPr>
                    <w:t>38.9</w:t>
                  </w:r>
                </w:p>
              </w:tc>
              <w:tc>
                <w:tcPr>
                  <w:tcW w:w="848" w:type="pct"/>
                  <w:vAlign w:val="center"/>
                </w:tcPr>
                <w:p>
                  <w:pPr>
                    <w:pStyle w:val="75"/>
                    <w:widowControl w:val="0"/>
                    <w:pBdr>
                      <w:left w:val="none" w:color="auto" w:sz="0" w:space="0"/>
                      <w:bottom w:val="none" w:color="auto" w:sz="0" w:space="0"/>
                      <w:right w:val="none" w:color="auto" w:sz="0" w:space="0"/>
                    </w:pBdr>
                    <w:snapToGrid w:val="0"/>
                    <w:spacing w:before="0" w:beforeAutospacing="0" w:after="0" w:afterAutospacing="0"/>
                    <w:rPr>
                      <w:rFonts w:hint="default" w:ascii="Times New Roman" w:hAnsi="Times New Roman" w:eastAsia="宋体"/>
                      <w:kern w:val="2"/>
                      <w:szCs w:val="21"/>
                      <w:lang w:val="en-US" w:eastAsia="zh-CN"/>
                    </w:rPr>
                  </w:pPr>
                  <w:r>
                    <w:rPr>
                      <w:rFonts w:hint="eastAsia" w:ascii="Times New Roman" w:hAnsi="Times New Roman"/>
                      <w:kern w:val="2"/>
                      <w:szCs w:val="21"/>
                      <w:lang w:val="en-US" w:eastAsia="zh-CN"/>
                    </w:rPr>
                    <w:t>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pct"/>
                  <w:vAlign w:val="center"/>
                </w:tcPr>
                <w:p>
                  <w:pPr>
                    <w:snapToGrid w:val="0"/>
                    <w:spacing w:line="240" w:lineRule="auto"/>
                    <w:jc w:val="center"/>
                    <w:rPr>
                      <w:rFonts w:eastAsia="宋体"/>
                      <w:sz w:val="21"/>
                      <w:szCs w:val="21"/>
                    </w:rPr>
                  </w:pPr>
                  <w:r>
                    <w:rPr>
                      <w:rFonts w:eastAsia="宋体"/>
                      <w:sz w:val="21"/>
                      <w:szCs w:val="21"/>
                    </w:rPr>
                    <w:t>标准（昼间）</w:t>
                  </w:r>
                </w:p>
              </w:tc>
              <w:tc>
                <w:tcPr>
                  <w:tcW w:w="980" w:type="pct"/>
                  <w:vAlign w:val="center"/>
                </w:tcPr>
                <w:p>
                  <w:pPr>
                    <w:snapToGrid w:val="0"/>
                    <w:spacing w:line="240" w:lineRule="auto"/>
                    <w:jc w:val="center"/>
                    <w:rPr>
                      <w:rFonts w:eastAsia="宋体"/>
                      <w:sz w:val="21"/>
                      <w:szCs w:val="21"/>
                    </w:rPr>
                  </w:pPr>
                  <w:r>
                    <w:rPr>
                      <w:rFonts w:hint="eastAsia" w:eastAsia="宋体"/>
                      <w:sz w:val="21"/>
                      <w:szCs w:val="21"/>
                    </w:rPr>
                    <w:t>60</w:t>
                  </w:r>
                </w:p>
              </w:tc>
              <w:tc>
                <w:tcPr>
                  <w:tcW w:w="848" w:type="pct"/>
                  <w:vAlign w:val="center"/>
                </w:tcPr>
                <w:p>
                  <w:pPr>
                    <w:spacing w:line="240" w:lineRule="auto"/>
                    <w:jc w:val="center"/>
                    <w:rPr>
                      <w:rFonts w:eastAsia="宋体"/>
                      <w:sz w:val="21"/>
                      <w:szCs w:val="21"/>
                    </w:rPr>
                  </w:pPr>
                  <w:r>
                    <w:rPr>
                      <w:rFonts w:hint="eastAsia" w:eastAsia="宋体"/>
                      <w:sz w:val="21"/>
                      <w:szCs w:val="21"/>
                    </w:rPr>
                    <w:t>60</w:t>
                  </w:r>
                </w:p>
              </w:tc>
              <w:tc>
                <w:tcPr>
                  <w:tcW w:w="848" w:type="pct"/>
                  <w:vAlign w:val="center"/>
                </w:tcPr>
                <w:p>
                  <w:pPr>
                    <w:spacing w:line="240" w:lineRule="auto"/>
                    <w:jc w:val="center"/>
                    <w:rPr>
                      <w:rFonts w:eastAsia="宋体"/>
                      <w:sz w:val="21"/>
                      <w:szCs w:val="21"/>
                    </w:rPr>
                  </w:pPr>
                  <w:r>
                    <w:rPr>
                      <w:rFonts w:hint="eastAsia" w:eastAsia="宋体"/>
                      <w:sz w:val="21"/>
                      <w:szCs w:val="21"/>
                    </w:rPr>
                    <w:t>60</w:t>
                  </w:r>
                </w:p>
              </w:tc>
              <w:tc>
                <w:tcPr>
                  <w:tcW w:w="848" w:type="pct"/>
                  <w:vAlign w:val="center"/>
                </w:tcPr>
                <w:p>
                  <w:pPr>
                    <w:spacing w:line="240" w:lineRule="auto"/>
                    <w:jc w:val="center"/>
                    <w:rPr>
                      <w:rFonts w:eastAsia="宋体"/>
                      <w:sz w:val="21"/>
                      <w:szCs w:val="21"/>
                    </w:rPr>
                  </w:pPr>
                  <w:r>
                    <w:rPr>
                      <w:rFonts w:hint="eastAsia" w:eastAsia="宋体"/>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pct"/>
                  <w:vAlign w:val="center"/>
                </w:tcPr>
                <w:p>
                  <w:pPr>
                    <w:snapToGrid w:val="0"/>
                    <w:spacing w:line="240" w:lineRule="auto"/>
                    <w:jc w:val="center"/>
                    <w:rPr>
                      <w:rFonts w:eastAsia="宋体"/>
                      <w:sz w:val="21"/>
                      <w:szCs w:val="21"/>
                    </w:rPr>
                  </w:pPr>
                  <w:r>
                    <w:rPr>
                      <w:rFonts w:eastAsia="宋体"/>
                      <w:sz w:val="21"/>
                      <w:szCs w:val="21"/>
                    </w:rPr>
                    <w:t>达标情况</w:t>
                  </w:r>
                </w:p>
              </w:tc>
              <w:tc>
                <w:tcPr>
                  <w:tcW w:w="980" w:type="pct"/>
                  <w:vAlign w:val="center"/>
                </w:tcPr>
                <w:p>
                  <w:pPr>
                    <w:snapToGrid w:val="0"/>
                    <w:spacing w:line="240" w:lineRule="auto"/>
                    <w:jc w:val="center"/>
                    <w:rPr>
                      <w:rFonts w:eastAsia="宋体"/>
                      <w:sz w:val="21"/>
                      <w:szCs w:val="21"/>
                    </w:rPr>
                  </w:pPr>
                  <w:r>
                    <w:rPr>
                      <w:rFonts w:eastAsia="宋体"/>
                      <w:sz w:val="21"/>
                      <w:szCs w:val="21"/>
                    </w:rPr>
                    <w:t>达标</w:t>
                  </w:r>
                </w:p>
              </w:tc>
              <w:tc>
                <w:tcPr>
                  <w:tcW w:w="848" w:type="pct"/>
                  <w:vAlign w:val="center"/>
                </w:tcPr>
                <w:p>
                  <w:pPr>
                    <w:snapToGrid w:val="0"/>
                    <w:spacing w:line="240" w:lineRule="auto"/>
                    <w:jc w:val="center"/>
                    <w:rPr>
                      <w:rFonts w:eastAsia="宋体"/>
                      <w:sz w:val="21"/>
                      <w:szCs w:val="21"/>
                    </w:rPr>
                  </w:pPr>
                  <w:r>
                    <w:rPr>
                      <w:rFonts w:eastAsia="宋体"/>
                      <w:sz w:val="21"/>
                      <w:szCs w:val="21"/>
                    </w:rPr>
                    <w:t>达标</w:t>
                  </w:r>
                </w:p>
              </w:tc>
              <w:tc>
                <w:tcPr>
                  <w:tcW w:w="848" w:type="pct"/>
                  <w:vAlign w:val="center"/>
                </w:tcPr>
                <w:p>
                  <w:pPr>
                    <w:snapToGrid w:val="0"/>
                    <w:spacing w:line="240" w:lineRule="auto"/>
                    <w:jc w:val="center"/>
                    <w:rPr>
                      <w:rFonts w:eastAsia="宋体"/>
                      <w:sz w:val="21"/>
                      <w:szCs w:val="21"/>
                    </w:rPr>
                  </w:pPr>
                  <w:r>
                    <w:rPr>
                      <w:rFonts w:eastAsia="宋体"/>
                      <w:sz w:val="21"/>
                      <w:szCs w:val="21"/>
                    </w:rPr>
                    <w:t>达标</w:t>
                  </w:r>
                </w:p>
              </w:tc>
              <w:tc>
                <w:tcPr>
                  <w:tcW w:w="848" w:type="pct"/>
                  <w:vAlign w:val="center"/>
                </w:tcPr>
                <w:p>
                  <w:pPr>
                    <w:snapToGrid w:val="0"/>
                    <w:spacing w:line="240" w:lineRule="auto"/>
                    <w:jc w:val="center"/>
                    <w:rPr>
                      <w:rFonts w:eastAsia="宋体"/>
                      <w:sz w:val="21"/>
                      <w:szCs w:val="21"/>
                    </w:rPr>
                  </w:pPr>
                  <w:r>
                    <w:rPr>
                      <w:rFonts w:eastAsia="宋体"/>
                      <w:sz w:val="21"/>
                      <w:szCs w:val="21"/>
                    </w:rPr>
                    <w:t>达标</w:t>
                  </w:r>
                </w:p>
              </w:tc>
            </w:tr>
          </w:tbl>
          <w:p>
            <w:pPr>
              <w:pStyle w:val="16"/>
              <w:ind w:firstLine="480" w:firstLineChars="200"/>
              <w:rPr>
                <w:rFonts w:ascii="Times New Roman" w:hAnsi="Times New Roman" w:eastAsia="宋体" w:cs="Times New Roman"/>
              </w:rPr>
            </w:pPr>
            <w:r>
              <w:rPr>
                <w:rFonts w:ascii="Times New Roman" w:hAnsi="Times New Roman" w:eastAsia="宋体" w:cs="Times New Roman"/>
              </w:rPr>
              <w:t>由上表可知，本项目采取隔声、减振、消声等措施后，</w:t>
            </w:r>
            <w:r>
              <w:rPr>
                <w:rFonts w:hint="eastAsia" w:ascii="Times New Roman" w:hAnsi="Times New Roman" w:eastAsia="宋体" w:cs="Times New Roman"/>
              </w:rPr>
              <w:t>正常教学生活</w:t>
            </w:r>
            <w:r>
              <w:rPr>
                <w:rFonts w:ascii="Times New Roman" w:hAnsi="Times New Roman" w:eastAsia="宋体" w:cs="Times New Roman"/>
              </w:rPr>
              <w:t>时，</w:t>
            </w:r>
            <w:r>
              <w:rPr>
                <w:rFonts w:hint="eastAsia" w:ascii="Times New Roman" w:hAnsi="Times New Roman" w:eastAsia="宋体" w:cs="Times New Roman"/>
              </w:rPr>
              <w:t>场</w:t>
            </w:r>
            <w:r>
              <w:rPr>
                <w:rFonts w:ascii="Times New Roman" w:hAnsi="Times New Roman" w:eastAsia="宋体" w:cs="Times New Roman"/>
              </w:rPr>
              <w:t>界昼间噪声贡献值均能满足</w:t>
            </w:r>
            <w:r>
              <w:rPr>
                <w:rFonts w:ascii="Times New Roman" w:hAnsi="Times New Roman" w:eastAsia="宋体" w:cs="Times New Roman"/>
                <w:bCs/>
              </w:rPr>
              <w:t>《工业企业厂界环境噪声排放标准》</w:t>
            </w:r>
            <w:r>
              <w:rPr>
                <w:rFonts w:hint="eastAsia" w:ascii="Times New Roman" w:hAnsi="Times New Roman" w:eastAsia="宋体" w:cs="Times New Roman"/>
                <w:bCs/>
              </w:rPr>
              <w:t>（</w:t>
            </w:r>
            <w:r>
              <w:rPr>
                <w:rFonts w:ascii="Times New Roman" w:hAnsi="Times New Roman" w:eastAsia="宋体" w:cs="Times New Roman"/>
                <w:bCs/>
              </w:rPr>
              <w:t>GB12348-2008</w:t>
            </w:r>
            <w:r>
              <w:rPr>
                <w:rFonts w:hint="eastAsia" w:ascii="Times New Roman" w:hAnsi="Times New Roman" w:eastAsia="宋体" w:cs="Times New Roman"/>
                <w:bCs/>
              </w:rPr>
              <w:t>）</w:t>
            </w:r>
            <w:r>
              <w:rPr>
                <w:rFonts w:ascii="Times New Roman" w:hAnsi="Times New Roman" w:eastAsia="宋体" w:cs="Times New Roman"/>
                <w:bCs/>
              </w:rPr>
              <w:t>中2类标准</w:t>
            </w:r>
            <w:r>
              <w:rPr>
                <w:rFonts w:ascii="Times New Roman" w:hAnsi="Times New Roman" w:eastAsia="宋体" w:cs="Times New Roman"/>
              </w:rPr>
              <w:t>。</w:t>
            </w:r>
          </w:p>
          <w:p>
            <w:pPr>
              <w:pStyle w:val="16"/>
              <w:ind w:firstLine="482" w:firstLineChars="200"/>
              <w:rPr>
                <w:rFonts w:ascii="Times New Roman" w:hAnsi="Times New Roman" w:eastAsia="宋体" w:cs="Times New Roman"/>
                <w:b/>
              </w:rPr>
            </w:pPr>
            <w:r>
              <w:rPr>
                <w:rFonts w:hint="eastAsia" w:ascii="Times New Roman" w:hAnsi="Times New Roman" w:eastAsia="宋体" w:cs="Times New Roman"/>
                <w:b/>
              </w:rPr>
              <w:t>4、固体废物</w:t>
            </w:r>
          </w:p>
          <w:p>
            <w:pPr>
              <w:spacing w:line="440" w:lineRule="exact"/>
              <w:ind w:firstLine="480" w:firstLineChars="200"/>
              <w:rPr>
                <w:rFonts w:eastAsia="宋体"/>
              </w:rPr>
            </w:pPr>
            <w:r>
              <w:rPr>
                <w:rFonts w:hint="eastAsia" w:eastAsia="宋体"/>
              </w:rPr>
              <w:t>（1）源强分析和处置措施</w:t>
            </w:r>
          </w:p>
          <w:p>
            <w:pPr>
              <w:adjustRightInd w:val="0"/>
              <w:spacing w:line="440" w:lineRule="exact"/>
              <w:ind w:firstLine="480" w:firstLineChars="200"/>
              <w:rPr>
                <w:rFonts w:eastAsia="宋体"/>
              </w:rPr>
            </w:pPr>
            <w:r>
              <w:rPr>
                <w:rFonts w:hint="eastAsia" w:eastAsia="宋体"/>
              </w:rPr>
              <w:t>项目主要固体废物为医务室废物、实验室废物、餐厨垃圾、废油脂及生活垃圾等。</w:t>
            </w:r>
          </w:p>
          <w:p>
            <w:pPr>
              <w:pStyle w:val="7"/>
              <w:spacing w:line="440" w:lineRule="exact"/>
              <w:ind w:firstLine="480"/>
              <w:rPr>
                <w:sz w:val="24"/>
                <w:szCs w:val="24"/>
              </w:rPr>
            </w:pPr>
            <w:r>
              <w:rPr>
                <w:sz w:val="24"/>
                <w:szCs w:val="24"/>
              </w:rPr>
              <w:fldChar w:fldCharType="begin"/>
            </w:r>
            <w:r>
              <w:rPr>
                <w:sz w:val="24"/>
                <w:szCs w:val="24"/>
              </w:rPr>
              <w:instrText xml:space="preserve"> </w:instrText>
            </w:r>
            <w:r>
              <w:rPr>
                <w:rFonts w:hint="eastAsia"/>
                <w:sz w:val="24"/>
                <w:szCs w:val="24"/>
              </w:rPr>
              <w:instrText xml:space="preserve">= 1 \* GB3</w:instrText>
            </w:r>
            <w:r>
              <w:rPr>
                <w:sz w:val="24"/>
                <w:szCs w:val="24"/>
              </w:rPr>
              <w:instrText xml:space="preserve"> </w:instrText>
            </w:r>
            <w:r>
              <w:rPr>
                <w:sz w:val="24"/>
                <w:szCs w:val="24"/>
              </w:rPr>
              <w:fldChar w:fldCharType="separate"/>
            </w:r>
            <w:r>
              <w:rPr>
                <w:rFonts w:hint="eastAsia"/>
                <w:sz w:val="24"/>
                <w:szCs w:val="24"/>
              </w:rPr>
              <w:t>①</w:t>
            </w:r>
            <w:r>
              <w:rPr>
                <w:sz w:val="24"/>
                <w:szCs w:val="24"/>
              </w:rPr>
              <w:fldChar w:fldCharType="end"/>
            </w:r>
            <w:r>
              <w:rPr>
                <w:rFonts w:hint="eastAsia"/>
                <w:sz w:val="24"/>
                <w:szCs w:val="24"/>
              </w:rPr>
              <w:t>医务室废物</w:t>
            </w:r>
          </w:p>
          <w:p>
            <w:pPr>
              <w:pStyle w:val="7"/>
              <w:spacing w:line="440" w:lineRule="exact"/>
              <w:ind w:firstLine="480"/>
              <w:rPr>
                <w:sz w:val="24"/>
                <w:szCs w:val="24"/>
              </w:rPr>
            </w:pPr>
            <w:r>
              <w:rPr>
                <w:rFonts w:hint="eastAsia"/>
                <w:sz w:val="24"/>
                <w:szCs w:val="24"/>
              </w:rPr>
              <w:t>项目医务室主要为教职工和学生提供基本病症治理和对于轻微伤势进行简单清创、消毒、包扎。由于进行治疗的物品均为一次性物品，无需进行清洗再利用。因此无医疗废水产生。医务室废物主要为学生简单皮外伤进行消毒和包扎产生的固废及过期、变态、变质的废弃药品，产生量约为</w:t>
            </w:r>
            <w:r>
              <w:rPr>
                <w:sz w:val="24"/>
                <w:szCs w:val="24"/>
              </w:rPr>
              <w:t>1.0</w:t>
            </w:r>
            <w:r>
              <w:rPr>
                <w:rFonts w:hint="eastAsia"/>
                <w:sz w:val="24"/>
                <w:szCs w:val="24"/>
              </w:rPr>
              <w:t>t/a。</w:t>
            </w:r>
          </w:p>
          <w:p>
            <w:pPr>
              <w:pStyle w:val="40"/>
              <w:rPr>
                <w:rFonts w:eastAsia="宋体"/>
              </w:rPr>
            </w:pPr>
            <w:r>
              <w:rPr>
                <w:rFonts w:eastAsia="宋体"/>
              </w:rPr>
              <w:fldChar w:fldCharType="begin"/>
            </w:r>
            <w:r>
              <w:rPr>
                <w:rFonts w:eastAsia="宋体"/>
              </w:rPr>
              <w:instrText xml:space="preserve"> </w:instrText>
            </w:r>
            <w:r>
              <w:rPr>
                <w:rFonts w:hint="eastAsia" w:eastAsia="宋体"/>
              </w:rPr>
              <w:instrText xml:space="preserve">= 2 \* GB3</w:instrText>
            </w:r>
            <w:r>
              <w:rPr>
                <w:rFonts w:eastAsia="宋体"/>
              </w:rPr>
              <w:instrText xml:space="preserve"> </w:instrText>
            </w:r>
            <w:r>
              <w:rPr>
                <w:rFonts w:eastAsia="宋体"/>
              </w:rPr>
              <w:fldChar w:fldCharType="separate"/>
            </w:r>
            <w:r>
              <w:rPr>
                <w:rFonts w:hint="eastAsia" w:eastAsia="宋体"/>
              </w:rPr>
              <w:t>②</w:t>
            </w:r>
            <w:r>
              <w:rPr>
                <w:rFonts w:eastAsia="宋体"/>
              </w:rPr>
              <w:fldChar w:fldCharType="end"/>
            </w:r>
            <w:r>
              <w:rPr>
                <w:rFonts w:hint="eastAsia" w:eastAsia="宋体"/>
              </w:rPr>
              <w:t>实验室废物</w:t>
            </w:r>
          </w:p>
          <w:p>
            <w:pPr>
              <w:pStyle w:val="40"/>
              <w:rPr>
                <w:rFonts w:eastAsia="宋体"/>
              </w:rPr>
            </w:pPr>
            <w:r>
              <w:rPr>
                <w:rFonts w:hint="eastAsia" w:eastAsia="宋体"/>
              </w:rPr>
              <w:t>实验过程中产生的实验废液、废试剂、废包装容器</w:t>
            </w:r>
            <w:r>
              <w:rPr>
                <w:rFonts w:hint="eastAsia" w:eastAsia="宋体"/>
                <w:lang w:eastAsia="zh-CN"/>
              </w:rPr>
              <w:t>、</w:t>
            </w:r>
            <w:r>
              <w:rPr>
                <w:rFonts w:hint="eastAsia" w:eastAsia="宋体"/>
              </w:rPr>
              <w:t>实验废渣</w:t>
            </w:r>
            <w:r>
              <w:rPr>
                <w:rFonts w:hint="eastAsia" w:eastAsia="宋体"/>
                <w:lang w:eastAsia="zh-CN"/>
              </w:rPr>
              <w:t>、</w:t>
            </w:r>
            <w:r>
              <w:rPr>
                <w:rFonts w:hint="eastAsia" w:ascii="Times New Roman" w:hAnsi="Times New Roman" w:eastAsia="宋体" w:cs="Times New Roman"/>
              </w:rPr>
              <w:t>实验室器皿一次清洗废水</w:t>
            </w:r>
            <w:r>
              <w:rPr>
                <w:rFonts w:hint="eastAsia" w:eastAsia="宋体"/>
              </w:rPr>
              <w:t>，类比同类型学校可知，产生量约3.0t/a。</w:t>
            </w:r>
          </w:p>
          <w:p>
            <w:pPr>
              <w:pStyle w:val="7"/>
              <w:spacing w:line="440" w:lineRule="exact"/>
              <w:ind w:firstLine="480"/>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 3 \* GB3 \* MERGEFORMAT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③</w:t>
            </w:r>
            <w:r>
              <w:rPr>
                <w:rFonts w:ascii="Times New Roman" w:hAnsi="Times New Roman" w:eastAsia="宋体" w:cs="Times New Roman"/>
                <w:kern w:val="2"/>
                <w:sz w:val="24"/>
                <w:szCs w:val="24"/>
                <w:lang w:val="en-US" w:eastAsia="zh-CN" w:bidi="ar-SA"/>
              </w:rPr>
              <w:fldChar w:fldCharType="end"/>
            </w:r>
            <w:r>
              <w:rPr>
                <w:rFonts w:hint="eastAsia"/>
                <w:sz w:val="24"/>
                <w:szCs w:val="24"/>
              </w:rPr>
              <w:t>餐厨垃圾</w:t>
            </w:r>
          </w:p>
          <w:p>
            <w:pPr>
              <w:pStyle w:val="40"/>
              <w:spacing w:line="440" w:lineRule="exact"/>
              <w:rPr>
                <w:rFonts w:eastAsia="宋体"/>
              </w:rPr>
            </w:pPr>
            <w:r>
              <w:rPr>
                <w:rFonts w:hint="eastAsia" w:eastAsia="宋体"/>
              </w:rPr>
              <w:t>项目餐厨垃圾的产生量按0.2kg/（人·次），食堂提供</w:t>
            </w:r>
            <w:r>
              <w:rPr>
                <w:rFonts w:hint="eastAsia" w:ascii="Times New Roman" w:hAnsi="Times New Roman" w:eastAsia="宋体" w:cs="Times New Roman"/>
              </w:rPr>
              <w:t>2567</w:t>
            </w:r>
            <w:r>
              <w:rPr>
                <w:rFonts w:hint="eastAsia" w:eastAsia="宋体"/>
              </w:rPr>
              <w:t>人早中晚三餐，则餐厨垃圾的产生量约为10</w:t>
            </w:r>
            <w:r>
              <w:rPr>
                <w:rFonts w:hint="eastAsia" w:eastAsia="宋体"/>
                <w:lang w:val="en-US" w:eastAsia="zh-CN"/>
              </w:rPr>
              <w:t>7</w:t>
            </w:r>
            <w:r>
              <w:rPr>
                <w:rFonts w:hint="eastAsia" w:eastAsia="宋体"/>
              </w:rPr>
              <w:t>.</w:t>
            </w:r>
            <w:r>
              <w:rPr>
                <w:rFonts w:hint="eastAsia" w:eastAsia="宋体"/>
                <w:lang w:val="en-US" w:eastAsia="zh-CN"/>
              </w:rPr>
              <w:t>81</w:t>
            </w:r>
            <w:r>
              <w:rPr>
                <w:rFonts w:hint="eastAsia" w:eastAsia="宋体"/>
              </w:rPr>
              <w:t>/a。餐厨垃圾放置在有盖容器内，且餐饮垃圾的存放场地设置在厨房外，满足《饮食业环境保护技术规范》（HJ554-2010）要求，收集后由餐厨垃圾处理单位回收处理。</w:t>
            </w:r>
          </w:p>
          <w:p>
            <w:pPr>
              <w:pStyle w:val="40"/>
              <w:spacing w:line="440" w:lineRule="exact"/>
              <w:rPr>
                <w:rFonts w:eastAsia="宋体"/>
              </w:rPr>
            </w:pPr>
            <w:r>
              <w:rPr>
                <w:rFonts w:eastAsia="宋体"/>
              </w:rPr>
              <w:fldChar w:fldCharType="begin"/>
            </w:r>
            <w:r>
              <w:rPr>
                <w:rFonts w:eastAsia="宋体"/>
              </w:rPr>
              <w:instrText xml:space="preserve"> = 4 \* GB3 \* MERGEFORMAT </w:instrText>
            </w:r>
            <w:r>
              <w:rPr>
                <w:rFonts w:eastAsia="宋体"/>
              </w:rPr>
              <w:fldChar w:fldCharType="separate"/>
            </w:r>
            <w:r>
              <w:t>④</w:t>
            </w:r>
            <w:r>
              <w:rPr>
                <w:rFonts w:eastAsia="宋体"/>
              </w:rPr>
              <w:fldChar w:fldCharType="end"/>
            </w:r>
            <w:r>
              <w:rPr>
                <w:rFonts w:hint="eastAsia" w:eastAsia="宋体"/>
              </w:rPr>
              <w:t>废油脂</w:t>
            </w:r>
          </w:p>
          <w:p>
            <w:pPr>
              <w:pStyle w:val="7"/>
              <w:spacing w:line="440" w:lineRule="exact"/>
              <w:ind w:firstLine="480"/>
              <w:rPr>
                <w:sz w:val="24"/>
                <w:szCs w:val="24"/>
              </w:rPr>
            </w:pPr>
            <w:r>
              <w:rPr>
                <w:rFonts w:hint="eastAsia"/>
                <w:sz w:val="24"/>
                <w:szCs w:val="24"/>
              </w:rPr>
              <w:t>本项目在校学生及教职工为</w:t>
            </w:r>
            <w:r>
              <w:rPr>
                <w:rFonts w:hint="eastAsia"/>
                <w:sz w:val="24"/>
                <w:szCs w:val="24"/>
                <w:lang w:val="en-US" w:eastAsia="zh-CN"/>
              </w:rPr>
              <w:t>2567</w:t>
            </w:r>
            <w:r>
              <w:rPr>
                <w:rFonts w:hint="eastAsia"/>
                <w:sz w:val="24"/>
                <w:szCs w:val="24"/>
              </w:rPr>
              <w:t>人，废油脂按0.5kg/人•a计，产生量约产生1.2</w:t>
            </w:r>
            <w:r>
              <w:rPr>
                <w:rFonts w:hint="eastAsia"/>
                <w:sz w:val="24"/>
                <w:szCs w:val="24"/>
                <w:lang w:val="en-US" w:eastAsia="zh-CN"/>
              </w:rPr>
              <w:t>8</w:t>
            </w:r>
            <w:r>
              <w:rPr>
                <w:rFonts w:hint="eastAsia"/>
                <w:sz w:val="24"/>
                <w:szCs w:val="24"/>
              </w:rPr>
              <w:t>t/a，经分类收集、暂存后委托环卫部门清运处理。由有资质的单位清掏、处理处置。</w:t>
            </w:r>
          </w:p>
          <w:p>
            <w:pPr>
              <w:pStyle w:val="40"/>
              <w:spacing w:line="440" w:lineRule="exact"/>
              <w:rPr>
                <w:rFonts w:eastAsia="宋体"/>
              </w:rPr>
            </w:pPr>
            <w:r>
              <w:rPr>
                <w:rFonts w:eastAsia="宋体"/>
              </w:rPr>
              <w:fldChar w:fldCharType="begin"/>
            </w:r>
            <w:r>
              <w:rPr>
                <w:rFonts w:eastAsia="宋体"/>
              </w:rPr>
              <w:instrText xml:space="preserve"> = 5 \* GB3 \* MERGEFORMAT </w:instrText>
            </w:r>
            <w:r>
              <w:rPr>
                <w:rFonts w:eastAsia="宋体"/>
              </w:rPr>
              <w:fldChar w:fldCharType="separate"/>
            </w:r>
            <w:r>
              <w:t>⑤</w:t>
            </w:r>
            <w:r>
              <w:rPr>
                <w:rFonts w:eastAsia="宋体"/>
              </w:rPr>
              <w:fldChar w:fldCharType="end"/>
            </w:r>
            <w:r>
              <w:rPr>
                <w:rFonts w:hint="eastAsia" w:eastAsia="宋体"/>
              </w:rPr>
              <w:t>生活垃圾</w:t>
            </w:r>
          </w:p>
          <w:p>
            <w:pPr>
              <w:pStyle w:val="16"/>
              <w:ind w:firstLine="480" w:firstLineChars="200"/>
              <w:rPr>
                <w:rFonts w:ascii="Times New Roman" w:hAnsi="Times New Roman" w:eastAsia="宋体" w:cs="Times New Roman"/>
              </w:rPr>
            </w:pPr>
            <w:r>
              <w:rPr>
                <w:rFonts w:hint="eastAsia" w:ascii="Times New Roman" w:hAnsi="Times New Roman" w:eastAsia="宋体" w:cs="Times New Roman"/>
              </w:rPr>
              <w:t>本项目在校学生及教职工为2567人，生活垃圾产生量按照</w:t>
            </w:r>
            <w:r>
              <w:rPr>
                <w:rFonts w:ascii="Times New Roman" w:hAnsi="Times New Roman" w:eastAsia="宋体" w:cs="Times New Roman"/>
              </w:rPr>
              <w:t>0.5kg/</w:t>
            </w:r>
            <w:r>
              <w:rPr>
                <w:rFonts w:hint="eastAsia" w:ascii="Times New Roman" w:hAnsi="Times New Roman" w:eastAsia="宋体" w:cs="Times New Roman"/>
              </w:rPr>
              <w:t>（人</w:t>
            </w:r>
            <w:r>
              <w:rPr>
                <w:rFonts w:ascii="Times New Roman" w:hAnsi="Times New Roman" w:eastAsia="宋体" w:cs="Times New Roman"/>
              </w:rPr>
              <w:t>·d</w:t>
            </w:r>
            <w:r>
              <w:rPr>
                <w:rFonts w:hint="eastAsia" w:ascii="Times New Roman" w:hAnsi="Times New Roman" w:eastAsia="宋体" w:cs="Times New Roman"/>
              </w:rPr>
              <w:t>）计，年运营时间</w:t>
            </w:r>
            <w:r>
              <w:rPr>
                <w:rFonts w:ascii="Times New Roman" w:hAnsi="Times New Roman" w:eastAsia="宋体" w:cs="Times New Roman"/>
              </w:rPr>
              <w:t>210</w:t>
            </w:r>
            <w:r>
              <w:rPr>
                <w:rFonts w:hint="eastAsia" w:ascii="Times New Roman" w:hAnsi="Times New Roman" w:eastAsia="宋体" w:cs="Times New Roman"/>
              </w:rPr>
              <w:t>天，则生活垃圾产生量约</w:t>
            </w:r>
            <w:r>
              <w:rPr>
                <w:rFonts w:hint="eastAsia" w:ascii="Times New Roman" w:hAnsi="Times New Roman" w:eastAsia="宋体" w:cs="Times New Roman"/>
                <w:lang w:val="en-US" w:eastAsia="zh-CN"/>
              </w:rPr>
              <w:t>269.54</w:t>
            </w:r>
            <w:r>
              <w:rPr>
                <w:rFonts w:ascii="Times New Roman" w:hAnsi="Times New Roman" w:eastAsia="宋体" w:cs="Times New Roman"/>
              </w:rPr>
              <w:t>t/a</w:t>
            </w:r>
            <w:r>
              <w:rPr>
                <w:rFonts w:hint="eastAsia" w:ascii="Times New Roman" w:hAnsi="Times New Roman" w:eastAsia="宋体" w:cs="Times New Roman"/>
              </w:rPr>
              <w:t>，委托环卫部门清运。</w:t>
            </w:r>
          </w:p>
          <w:p>
            <w:pPr>
              <w:adjustRightInd w:val="0"/>
              <w:ind w:firstLine="480" w:firstLineChars="200"/>
              <w:jc w:val="left"/>
              <w:rPr>
                <w:rFonts w:eastAsia="宋体"/>
              </w:rPr>
            </w:pPr>
            <w:r>
              <w:rPr>
                <w:rFonts w:eastAsia="宋体"/>
              </w:rPr>
              <w:t>（</w:t>
            </w:r>
            <w:r>
              <w:rPr>
                <w:rFonts w:hint="eastAsia" w:eastAsia="宋体"/>
              </w:rPr>
              <w:t>2</w:t>
            </w:r>
            <w:r>
              <w:rPr>
                <w:rFonts w:eastAsia="宋体"/>
              </w:rPr>
              <w:t>）</w:t>
            </w:r>
            <w:r>
              <w:rPr>
                <w:rFonts w:hint="eastAsia" w:eastAsia="宋体"/>
              </w:rPr>
              <w:t>属性判定</w:t>
            </w:r>
          </w:p>
          <w:p>
            <w:pPr>
              <w:snapToGrid w:val="0"/>
              <w:ind w:firstLine="480" w:firstLineChars="200"/>
              <w:rPr>
                <w:rFonts w:eastAsia="宋体"/>
              </w:rPr>
            </w:pPr>
            <w:r>
              <w:rPr>
                <w:rFonts w:eastAsia="宋体"/>
              </w:rPr>
              <w:t>根据《固体废物鉴别标准通则》</w:t>
            </w:r>
            <w:r>
              <w:rPr>
                <w:rFonts w:hint="eastAsia" w:eastAsia="宋体"/>
              </w:rPr>
              <w:t>（</w:t>
            </w:r>
            <w:r>
              <w:rPr>
                <w:rFonts w:eastAsia="宋体"/>
              </w:rPr>
              <w:t>GB34330-2017</w:t>
            </w:r>
            <w:r>
              <w:rPr>
                <w:rFonts w:hint="eastAsia" w:eastAsia="宋体"/>
              </w:rPr>
              <w:t>）</w:t>
            </w:r>
            <w:r>
              <w:rPr>
                <w:rFonts w:eastAsia="宋体"/>
              </w:rPr>
              <w:t>，对本项目各类副产物进行属性判定，判定结果如下表，由该表可知，本项目各类副产物均属于固体废物。</w:t>
            </w:r>
          </w:p>
          <w:p>
            <w:pPr>
              <w:tabs>
                <w:tab w:val="left" w:pos="-735"/>
                <w:tab w:val="left" w:pos="-420"/>
              </w:tabs>
              <w:adjustRightInd w:val="0"/>
              <w:spacing w:before="156" w:beforeLines="50" w:line="240" w:lineRule="auto"/>
              <w:jc w:val="center"/>
              <w:rPr>
                <w:rFonts w:eastAsia="宋体"/>
                <w:b/>
                <w:snapToGrid w:val="0"/>
                <w:kern w:val="0"/>
                <w:sz w:val="21"/>
                <w:szCs w:val="20"/>
              </w:rPr>
            </w:pPr>
            <w:r>
              <w:rPr>
                <w:rFonts w:hint="eastAsia" w:eastAsia="宋体"/>
                <w:b/>
                <w:snapToGrid w:val="0"/>
                <w:kern w:val="0"/>
                <w:sz w:val="21"/>
                <w:szCs w:val="20"/>
                <w:highlight w:val="lightGray"/>
              </w:rPr>
              <w:t>表</w:t>
            </w:r>
            <w:r>
              <w:rPr>
                <w:rFonts w:hint="eastAsia" w:eastAsia="宋体"/>
                <w:b/>
                <w:snapToGrid w:val="0"/>
                <w:kern w:val="0"/>
                <w:sz w:val="21"/>
                <w:szCs w:val="20"/>
              </w:rPr>
              <w:t>4</w:t>
            </w:r>
            <w:r>
              <w:rPr>
                <w:rFonts w:eastAsia="宋体"/>
                <w:b/>
                <w:snapToGrid w:val="0"/>
                <w:kern w:val="0"/>
                <w:sz w:val="21"/>
                <w:szCs w:val="20"/>
              </w:rPr>
              <w:t>-</w:t>
            </w:r>
            <w:r>
              <w:rPr>
                <w:rFonts w:hint="eastAsia" w:eastAsia="宋体"/>
                <w:b/>
                <w:snapToGrid w:val="0"/>
                <w:kern w:val="0"/>
                <w:sz w:val="21"/>
                <w:szCs w:val="20"/>
              </w:rPr>
              <w:t>13固体废物属性判定表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1407"/>
              <w:gridCol w:w="1147"/>
              <w:gridCol w:w="828"/>
              <w:gridCol w:w="2015"/>
              <w:gridCol w:w="912"/>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85" w:type="pct"/>
                  <w:tcMar>
                    <w:left w:w="0" w:type="dxa"/>
                    <w:right w:w="0" w:type="dxa"/>
                  </w:tcMar>
                  <w:vAlign w:val="center"/>
                </w:tcPr>
                <w:p>
                  <w:pPr>
                    <w:adjustRightInd w:val="0"/>
                    <w:snapToGrid w:val="0"/>
                    <w:spacing w:line="240" w:lineRule="auto"/>
                    <w:jc w:val="center"/>
                    <w:rPr>
                      <w:rFonts w:eastAsia="宋体"/>
                      <w:b/>
                      <w:bCs/>
                      <w:sz w:val="21"/>
                      <w:szCs w:val="21"/>
                    </w:rPr>
                  </w:pPr>
                  <w:r>
                    <w:rPr>
                      <w:rFonts w:eastAsia="宋体"/>
                      <w:b/>
                      <w:bCs/>
                      <w:sz w:val="21"/>
                      <w:szCs w:val="21"/>
                    </w:rPr>
                    <w:t>序号</w:t>
                  </w:r>
                </w:p>
              </w:tc>
              <w:tc>
                <w:tcPr>
                  <w:tcW w:w="919" w:type="pct"/>
                  <w:tcMar>
                    <w:left w:w="0" w:type="dxa"/>
                    <w:right w:w="0" w:type="dxa"/>
                  </w:tcMar>
                  <w:vAlign w:val="center"/>
                </w:tcPr>
                <w:p>
                  <w:pPr>
                    <w:adjustRightInd w:val="0"/>
                    <w:snapToGrid w:val="0"/>
                    <w:spacing w:line="240" w:lineRule="auto"/>
                    <w:jc w:val="center"/>
                    <w:rPr>
                      <w:rFonts w:eastAsia="宋体"/>
                      <w:b/>
                      <w:bCs/>
                      <w:sz w:val="21"/>
                      <w:szCs w:val="21"/>
                    </w:rPr>
                  </w:pPr>
                  <w:r>
                    <w:rPr>
                      <w:rFonts w:eastAsia="宋体"/>
                      <w:b/>
                      <w:bCs/>
                      <w:sz w:val="21"/>
                      <w:szCs w:val="21"/>
                    </w:rPr>
                    <w:t>副产物名称</w:t>
                  </w:r>
                </w:p>
              </w:tc>
              <w:tc>
                <w:tcPr>
                  <w:tcW w:w="749" w:type="pct"/>
                  <w:tcMar>
                    <w:left w:w="0" w:type="dxa"/>
                    <w:right w:w="0" w:type="dxa"/>
                  </w:tcMar>
                  <w:vAlign w:val="center"/>
                </w:tcPr>
                <w:p>
                  <w:pPr>
                    <w:adjustRightInd w:val="0"/>
                    <w:snapToGrid w:val="0"/>
                    <w:spacing w:line="240" w:lineRule="auto"/>
                    <w:jc w:val="center"/>
                    <w:rPr>
                      <w:rFonts w:eastAsia="宋体"/>
                      <w:b/>
                      <w:bCs/>
                      <w:sz w:val="21"/>
                      <w:szCs w:val="21"/>
                    </w:rPr>
                  </w:pPr>
                  <w:r>
                    <w:rPr>
                      <w:rFonts w:eastAsia="宋体"/>
                      <w:b/>
                      <w:bCs/>
                      <w:sz w:val="21"/>
                      <w:szCs w:val="21"/>
                    </w:rPr>
                    <w:t>产生工序</w:t>
                  </w:r>
                </w:p>
              </w:tc>
              <w:tc>
                <w:tcPr>
                  <w:tcW w:w="541" w:type="pct"/>
                  <w:tcMar>
                    <w:left w:w="0" w:type="dxa"/>
                    <w:right w:w="0" w:type="dxa"/>
                  </w:tcMar>
                  <w:vAlign w:val="center"/>
                </w:tcPr>
                <w:p>
                  <w:pPr>
                    <w:adjustRightInd w:val="0"/>
                    <w:snapToGrid w:val="0"/>
                    <w:spacing w:line="240" w:lineRule="auto"/>
                    <w:jc w:val="center"/>
                    <w:rPr>
                      <w:rFonts w:eastAsia="宋体"/>
                      <w:b/>
                      <w:bCs/>
                      <w:sz w:val="21"/>
                      <w:szCs w:val="21"/>
                    </w:rPr>
                  </w:pPr>
                  <w:r>
                    <w:rPr>
                      <w:rFonts w:eastAsia="宋体"/>
                      <w:b/>
                      <w:bCs/>
                      <w:sz w:val="21"/>
                      <w:szCs w:val="21"/>
                    </w:rPr>
                    <w:t>形态</w:t>
                  </w:r>
                </w:p>
              </w:tc>
              <w:tc>
                <w:tcPr>
                  <w:tcW w:w="1316" w:type="pct"/>
                  <w:tcMar>
                    <w:left w:w="0" w:type="dxa"/>
                    <w:right w:w="0" w:type="dxa"/>
                  </w:tcMar>
                  <w:vAlign w:val="center"/>
                </w:tcPr>
                <w:p>
                  <w:pPr>
                    <w:adjustRightInd w:val="0"/>
                    <w:snapToGrid w:val="0"/>
                    <w:spacing w:line="240" w:lineRule="auto"/>
                    <w:jc w:val="center"/>
                    <w:rPr>
                      <w:rFonts w:eastAsia="宋体"/>
                      <w:b/>
                      <w:bCs/>
                      <w:sz w:val="21"/>
                      <w:szCs w:val="21"/>
                    </w:rPr>
                  </w:pPr>
                  <w:r>
                    <w:rPr>
                      <w:rFonts w:eastAsia="宋体"/>
                      <w:b/>
                      <w:bCs/>
                      <w:sz w:val="21"/>
                      <w:szCs w:val="21"/>
                    </w:rPr>
                    <w:t>主要成份</w:t>
                  </w:r>
                </w:p>
              </w:tc>
              <w:tc>
                <w:tcPr>
                  <w:tcW w:w="596" w:type="pct"/>
                  <w:tcMar>
                    <w:left w:w="0" w:type="dxa"/>
                    <w:right w:w="0" w:type="dxa"/>
                  </w:tcMar>
                  <w:vAlign w:val="center"/>
                </w:tcPr>
                <w:p>
                  <w:pPr>
                    <w:adjustRightInd w:val="0"/>
                    <w:snapToGrid w:val="0"/>
                    <w:spacing w:line="240" w:lineRule="auto"/>
                    <w:jc w:val="center"/>
                    <w:rPr>
                      <w:rFonts w:eastAsia="宋体"/>
                      <w:b/>
                      <w:bCs/>
                      <w:sz w:val="21"/>
                      <w:szCs w:val="21"/>
                    </w:rPr>
                  </w:pPr>
                  <w:r>
                    <w:rPr>
                      <w:rFonts w:eastAsia="宋体"/>
                      <w:b/>
                      <w:bCs/>
                      <w:sz w:val="21"/>
                      <w:szCs w:val="21"/>
                    </w:rPr>
                    <w:t>是否属固体废物</w:t>
                  </w:r>
                </w:p>
              </w:tc>
              <w:tc>
                <w:tcPr>
                  <w:tcW w:w="590" w:type="pct"/>
                  <w:vAlign w:val="center"/>
                </w:tcPr>
                <w:p>
                  <w:pPr>
                    <w:adjustRightInd w:val="0"/>
                    <w:snapToGrid w:val="0"/>
                    <w:spacing w:line="240" w:lineRule="auto"/>
                    <w:jc w:val="center"/>
                    <w:rPr>
                      <w:rFonts w:eastAsia="宋体"/>
                      <w:b/>
                      <w:bCs/>
                      <w:sz w:val="21"/>
                      <w:szCs w:val="21"/>
                    </w:rPr>
                  </w:pPr>
                  <w:r>
                    <w:rPr>
                      <w:rFonts w:eastAsia="宋体"/>
                      <w:b/>
                      <w:bCs/>
                      <w:sz w:val="21"/>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85" w:type="pct"/>
                  <w:tcMar>
                    <w:left w:w="0" w:type="dxa"/>
                    <w:right w:w="0" w:type="dxa"/>
                  </w:tcMar>
                  <w:vAlign w:val="center"/>
                </w:tcPr>
                <w:p>
                  <w:pPr>
                    <w:adjustRightInd w:val="0"/>
                    <w:snapToGrid w:val="0"/>
                    <w:spacing w:line="240" w:lineRule="auto"/>
                    <w:jc w:val="center"/>
                    <w:rPr>
                      <w:rFonts w:eastAsia="宋体"/>
                      <w:spacing w:val="4"/>
                      <w:sz w:val="21"/>
                      <w:szCs w:val="21"/>
                    </w:rPr>
                  </w:pPr>
                  <w:r>
                    <w:rPr>
                      <w:rFonts w:eastAsia="宋体"/>
                      <w:spacing w:val="4"/>
                      <w:sz w:val="21"/>
                      <w:szCs w:val="21"/>
                    </w:rPr>
                    <w:t>1</w:t>
                  </w:r>
                </w:p>
              </w:tc>
              <w:tc>
                <w:tcPr>
                  <w:tcW w:w="919"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医务室医疗废物</w:t>
                  </w:r>
                </w:p>
              </w:tc>
              <w:tc>
                <w:tcPr>
                  <w:tcW w:w="749"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医疗</w:t>
                  </w:r>
                </w:p>
              </w:tc>
              <w:tc>
                <w:tcPr>
                  <w:tcW w:w="541" w:type="pct"/>
                  <w:tcMar>
                    <w:left w:w="0" w:type="dxa"/>
                    <w:right w:w="0" w:type="dxa"/>
                  </w:tcMar>
                  <w:vAlign w:val="center"/>
                </w:tcPr>
                <w:p>
                  <w:pPr>
                    <w:widowControl/>
                    <w:spacing w:line="240" w:lineRule="auto"/>
                    <w:jc w:val="center"/>
                    <w:rPr>
                      <w:rFonts w:eastAsia="宋体"/>
                      <w:sz w:val="21"/>
                      <w:szCs w:val="21"/>
                    </w:rPr>
                  </w:pPr>
                  <w:r>
                    <w:rPr>
                      <w:rFonts w:eastAsia="宋体"/>
                      <w:sz w:val="21"/>
                      <w:szCs w:val="21"/>
                    </w:rPr>
                    <w:t>固态</w:t>
                  </w:r>
                </w:p>
              </w:tc>
              <w:tc>
                <w:tcPr>
                  <w:tcW w:w="1316"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废包装材料、废医用纱布、废药品</w:t>
                  </w:r>
                </w:p>
              </w:tc>
              <w:tc>
                <w:tcPr>
                  <w:tcW w:w="596" w:type="pct"/>
                  <w:tcMar>
                    <w:left w:w="0" w:type="dxa"/>
                    <w:right w:w="0" w:type="dxa"/>
                  </w:tcMar>
                  <w:vAlign w:val="center"/>
                </w:tcPr>
                <w:p>
                  <w:pPr>
                    <w:spacing w:line="240" w:lineRule="auto"/>
                    <w:jc w:val="center"/>
                    <w:rPr>
                      <w:rFonts w:eastAsia="宋体"/>
                      <w:sz w:val="21"/>
                      <w:szCs w:val="21"/>
                    </w:rPr>
                  </w:pPr>
                  <w:r>
                    <w:rPr>
                      <w:rFonts w:eastAsia="宋体"/>
                      <w:sz w:val="21"/>
                      <w:szCs w:val="21"/>
                    </w:rPr>
                    <w:t>是</w:t>
                  </w:r>
                </w:p>
              </w:tc>
              <w:tc>
                <w:tcPr>
                  <w:tcW w:w="590" w:type="pct"/>
                  <w:vAlign w:val="center"/>
                </w:tcPr>
                <w:p>
                  <w:pPr>
                    <w:spacing w:line="240" w:lineRule="auto"/>
                    <w:jc w:val="center"/>
                    <w:rPr>
                      <w:rFonts w:eastAsia="宋体"/>
                      <w:sz w:val="21"/>
                      <w:szCs w:val="21"/>
                    </w:rPr>
                  </w:pPr>
                  <w:r>
                    <w:rPr>
                      <w:rFonts w:hint="eastAsia" w:eastAsia="宋体"/>
                      <w:sz w:val="21"/>
                      <w:szCs w:val="21"/>
                    </w:rPr>
                    <w:t>4</w:t>
                  </w:r>
                  <w:r>
                    <w:rPr>
                      <w:rFonts w:eastAsia="宋体"/>
                      <w:sz w:val="21"/>
                      <w:szCs w:val="21"/>
                    </w:rPr>
                    <w:t>.1-</w:t>
                  </w:r>
                  <w:r>
                    <w:rPr>
                      <w:rFonts w:hint="eastAsia" w:eastAsia="宋体"/>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85" w:type="pct"/>
                  <w:tcMar>
                    <w:left w:w="0" w:type="dxa"/>
                    <w:right w:w="0" w:type="dxa"/>
                  </w:tcMar>
                  <w:vAlign w:val="center"/>
                </w:tcPr>
                <w:p>
                  <w:pPr>
                    <w:adjustRightInd w:val="0"/>
                    <w:snapToGrid w:val="0"/>
                    <w:spacing w:line="240" w:lineRule="auto"/>
                    <w:jc w:val="center"/>
                    <w:rPr>
                      <w:rFonts w:eastAsia="宋体"/>
                      <w:spacing w:val="4"/>
                      <w:sz w:val="21"/>
                      <w:szCs w:val="21"/>
                    </w:rPr>
                  </w:pPr>
                  <w:r>
                    <w:rPr>
                      <w:rFonts w:hint="eastAsia" w:eastAsia="宋体"/>
                      <w:spacing w:val="4"/>
                      <w:sz w:val="21"/>
                      <w:szCs w:val="21"/>
                    </w:rPr>
                    <w:t>2</w:t>
                  </w:r>
                </w:p>
              </w:tc>
              <w:tc>
                <w:tcPr>
                  <w:tcW w:w="919"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实验室废物</w:t>
                  </w:r>
                </w:p>
              </w:tc>
              <w:tc>
                <w:tcPr>
                  <w:tcW w:w="749"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实验教学</w:t>
                  </w:r>
                </w:p>
              </w:tc>
              <w:tc>
                <w:tcPr>
                  <w:tcW w:w="541" w:type="pct"/>
                  <w:tcMar>
                    <w:left w:w="0" w:type="dxa"/>
                    <w:right w:w="0" w:type="dxa"/>
                  </w:tcMar>
                  <w:vAlign w:val="center"/>
                </w:tcPr>
                <w:p>
                  <w:pPr>
                    <w:widowControl/>
                    <w:spacing w:line="240" w:lineRule="auto"/>
                    <w:jc w:val="center"/>
                    <w:rPr>
                      <w:rFonts w:eastAsia="宋体"/>
                      <w:sz w:val="21"/>
                      <w:szCs w:val="21"/>
                    </w:rPr>
                  </w:pPr>
                  <w:r>
                    <w:rPr>
                      <w:rFonts w:eastAsia="宋体"/>
                      <w:sz w:val="21"/>
                      <w:szCs w:val="21"/>
                    </w:rPr>
                    <w:t>固</w:t>
                  </w:r>
                  <w:r>
                    <w:rPr>
                      <w:rFonts w:hint="eastAsia" w:eastAsia="宋体"/>
                      <w:sz w:val="21"/>
                      <w:szCs w:val="21"/>
                    </w:rPr>
                    <w:t>、液</w:t>
                  </w:r>
                  <w:r>
                    <w:rPr>
                      <w:rFonts w:eastAsia="宋体"/>
                      <w:sz w:val="21"/>
                      <w:szCs w:val="21"/>
                    </w:rPr>
                    <w:t>态</w:t>
                  </w:r>
                </w:p>
              </w:tc>
              <w:tc>
                <w:tcPr>
                  <w:tcW w:w="1316"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实验废液、废试剂、废包装容器</w:t>
                  </w:r>
                  <w:r>
                    <w:rPr>
                      <w:rFonts w:hint="eastAsia" w:eastAsia="宋体"/>
                      <w:sz w:val="21"/>
                      <w:szCs w:val="21"/>
                      <w:lang w:eastAsia="zh-CN"/>
                    </w:rPr>
                    <w:t>、</w:t>
                  </w:r>
                  <w:r>
                    <w:rPr>
                      <w:rFonts w:hint="eastAsia" w:eastAsia="宋体"/>
                      <w:sz w:val="21"/>
                      <w:szCs w:val="21"/>
                    </w:rPr>
                    <w:t>实验室器皿一次清洗废水等</w:t>
                  </w:r>
                </w:p>
              </w:tc>
              <w:tc>
                <w:tcPr>
                  <w:tcW w:w="596" w:type="pct"/>
                  <w:tcMar>
                    <w:left w:w="0" w:type="dxa"/>
                    <w:right w:w="0" w:type="dxa"/>
                  </w:tcMar>
                  <w:vAlign w:val="center"/>
                </w:tcPr>
                <w:p>
                  <w:pPr>
                    <w:spacing w:line="240" w:lineRule="auto"/>
                    <w:jc w:val="center"/>
                    <w:rPr>
                      <w:rFonts w:eastAsia="宋体"/>
                      <w:sz w:val="21"/>
                      <w:szCs w:val="21"/>
                    </w:rPr>
                  </w:pPr>
                  <w:r>
                    <w:rPr>
                      <w:rFonts w:eastAsia="宋体"/>
                      <w:sz w:val="21"/>
                      <w:szCs w:val="21"/>
                    </w:rPr>
                    <w:t>是</w:t>
                  </w:r>
                </w:p>
              </w:tc>
              <w:tc>
                <w:tcPr>
                  <w:tcW w:w="590" w:type="pct"/>
                  <w:vAlign w:val="center"/>
                </w:tcPr>
                <w:p>
                  <w:pPr>
                    <w:spacing w:line="240" w:lineRule="auto"/>
                    <w:jc w:val="center"/>
                    <w:rPr>
                      <w:rFonts w:eastAsia="宋体"/>
                      <w:sz w:val="21"/>
                      <w:szCs w:val="21"/>
                    </w:rPr>
                  </w:pPr>
                  <w:r>
                    <w:rPr>
                      <w:rFonts w:hint="eastAsia" w:eastAsia="宋体"/>
                      <w:sz w:val="21"/>
                      <w:szCs w:val="21"/>
                    </w:rPr>
                    <w:t>4</w:t>
                  </w:r>
                  <w:r>
                    <w:rPr>
                      <w:rFonts w:eastAsia="宋体"/>
                      <w:sz w:val="21"/>
                      <w:szCs w:val="21"/>
                    </w:rPr>
                    <w:t>.1-</w:t>
                  </w:r>
                  <w:r>
                    <w:rPr>
                      <w:rFonts w:hint="eastAsia" w:eastAsia="宋体"/>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85" w:type="pct"/>
                  <w:tcMar>
                    <w:left w:w="0" w:type="dxa"/>
                    <w:right w:w="0" w:type="dxa"/>
                  </w:tcMar>
                  <w:vAlign w:val="center"/>
                </w:tcPr>
                <w:p>
                  <w:pPr>
                    <w:adjustRightInd w:val="0"/>
                    <w:snapToGrid w:val="0"/>
                    <w:spacing w:line="240" w:lineRule="auto"/>
                    <w:jc w:val="center"/>
                    <w:rPr>
                      <w:rFonts w:hint="eastAsia" w:eastAsia="宋体"/>
                      <w:spacing w:val="4"/>
                      <w:sz w:val="21"/>
                      <w:szCs w:val="21"/>
                      <w:lang w:eastAsia="zh-CN"/>
                    </w:rPr>
                  </w:pPr>
                  <w:r>
                    <w:rPr>
                      <w:rFonts w:hint="eastAsia" w:eastAsia="宋体"/>
                      <w:spacing w:val="4"/>
                      <w:sz w:val="21"/>
                      <w:szCs w:val="21"/>
                      <w:lang w:eastAsia="zh-CN"/>
                    </w:rPr>
                    <w:t>3</w:t>
                  </w:r>
                </w:p>
              </w:tc>
              <w:tc>
                <w:tcPr>
                  <w:tcW w:w="919"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餐厨垃圾</w:t>
                  </w:r>
                </w:p>
              </w:tc>
              <w:tc>
                <w:tcPr>
                  <w:tcW w:w="749"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日常生活</w:t>
                  </w:r>
                </w:p>
              </w:tc>
              <w:tc>
                <w:tcPr>
                  <w:tcW w:w="541" w:type="pct"/>
                  <w:tcMar>
                    <w:left w:w="0" w:type="dxa"/>
                    <w:right w:w="0" w:type="dxa"/>
                  </w:tcMar>
                  <w:vAlign w:val="center"/>
                </w:tcPr>
                <w:p>
                  <w:pPr>
                    <w:widowControl/>
                    <w:spacing w:line="240" w:lineRule="auto"/>
                    <w:jc w:val="center"/>
                    <w:rPr>
                      <w:rFonts w:eastAsia="宋体"/>
                      <w:sz w:val="21"/>
                      <w:szCs w:val="21"/>
                    </w:rPr>
                  </w:pPr>
                  <w:r>
                    <w:rPr>
                      <w:rFonts w:hint="eastAsia" w:eastAsia="宋体"/>
                      <w:sz w:val="21"/>
                      <w:szCs w:val="21"/>
                    </w:rPr>
                    <w:t>固态</w:t>
                  </w:r>
                </w:p>
              </w:tc>
              <w:tc>
                <w:tcPr>
                  <w:tcW w:w="1316"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餐厨垃圾</w:t>
                  </w:r>
                </w:p>
              </w:tc>
              <w:tc>
                <w:tcPr>
                  <w:tcW w:w="596"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是</w:t>
                  </w:r>
                </w:p>
              </w:tc>
              <w:tc>
                <w:tcPr>
                  <w:tcW w:w="590" w:type="pct"/>
                  <w:vAlign w:val="center"/>
                </w:tcPr>
                <w:p>
                  <w:pPr>
                    <w:spacing w:line="240" w:lineRule="auto"/>
                    <w:jc w:val="center"/>
                    <w:rPr>
                      <w:rFonts w:eastAsia="宋体"/>
                      <w:sz w:val="21"/>
                      <w:szCs w:val="21"/>
                    </w:rPr>
                  </w:pPr>
                  <w:r>
                    <w:rPr>
                      <w:rFonts w:hint="eastAsia" w:eastAsia="宋体"/>
                      <w:sz w:val="21"/>
                      <w:szCs w:val="21"/>
                    </w:rPr>
                    <w:t>4</w:t>
                  </w:r>
                  <w:r>
                    <w:rPr>
                      <w:rFonts w:eastAsia="宋体"/>
                      <w:sz w:val="21"/>
                      <w:szCs w:val="21"/>
                    </w:rPr>
                    <w:t>.1-</w:t>
                  </w:r>
                  <w:r>
                    <w:rPr>
                      <w:rFonts w:hint="eastAsia" w:eastAsia="宋体"/>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85" w:type="pct"/>
                  <w:tcMar>
                    <w:left w:w="0" w:type="dxa"/>
                    <w:right w:w="0" w:type="dxa"/>
                  </w:tcMar>
                  <w:vAlign w:val="center"/>
                </w:tcPr>
                <w:p>
                  <w:pPr>
                    <w:adjustRightInd w:val="0"/>
                    <w:snapToGrid w:val="0"/>
                    <w:spacing w:line="240" w:lineRule="auto"/>
                    <w:jc w:val="center"/>
                    <w:rPr>
                      <w:rFonts w:hint="eastAsia" w:eastAsia="宋体"/>
                      <w:spacing w:val="4"/>
                      <w:sz w:val="21"/>
                      <w:szCs w:val="21"/>
                      <w:lang w:eastAsia="zh-CN"/>
                    </w:rPr>
                  </w:pPr>
                  <w:r>
                    <w:rPr>
                      <w:rFonts w:hint="eastAsia" w:eastAsia="宋体"/>
                      <w:spacing w:val="4"/>
                      <w:sz w:val="21"/>
                      <w:szCs w:val="21"/>
                      <w:lang w:val="en-US" w:eastAsia="zh-CN"/>
                    </w:rPr>
                    <w:t>4</w:t>
                  </w:r>
                </w:p>
              </w:tc>
              <w:tc>
                <w:tcPr>
                  <w:tcW w:w="919"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废油脂</w:t>
                  </w:r>
                </w:p>
              </w:tc>
              <w:tc>
                <w:tcPr>
                  <w:tcW w:w="749"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废水处理</w:t>
                  </w:r>
                </w:p>
              </w:tc>
              <w:tc>
                <w:tcPr>
                  <w:tcW w:w="541" w:type="pct"/>
                  <w:tcMar>
                    <w:left w:w="0" w:type="dxa"/>
                    <w:right w:w="0" w:type="dxa"/>
                  </w:tcMar>
                  <w:vAlign w:val="center"/>
                </w:tcPr>
                <w:p>
                  <w:pPr>
                    <w:widowControl/>
                    <w:spacing w:line="240" w:lineRule="auto"/>
                    <w:jc w:val="center"/>
                    <w:rPr>
                      <w:rFonts w:eastAsia="宋体"/>
                      <w:sz w:val="21"/>
                      <w:szCs w:val="21"/>
                    </w:rPr>
                  </w:pPr>
                  <w:r>
                    <w:rPr>
                      <w:rFonts w:hint="eastAsia" w:eastAsia="宋体"/>
                      <w:sz w:val="21"/>
                      <w:szCs w:val="21"/>
                    </w:rPr>
                    <w:t>固态</w:t>
                  </w:r>
                </w:p>
              </w:tc>
              <w:tc>
                <w:tcPr>
                  <w:tcW w:w="1316"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废油脂</w:t>
                  </w:r>
                </w:p>
              </w:tc>
              <w:tc>
                <w:tcPr>
                  <w:tcW w:w="596"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是</w:t>
                  </w:r>
                </w:p>
              </w:tc>
              <w:tc>
                <w:tcPr>
                  <w:tcW w:w="590" w:type="pct"/>
                  <w:vAlign w:val="center"/>
                </w:tcPr>
                <w:p>
                  <w:pPr>
                    <w:spacing w:line="240" w:lineRule="auto"/>
                    <w:jc w:val="center"/>
                    <w:rPr>
                      <w:rFonts w:eastAsia="宋体"/>
                      <w:sz w:val="21"/>
                      <w:szCs w:val="21"/>
                    </w:rPr>
                  </w:pPr>
                  <w:r>
                    <w:rPr>
                      <w:rFonts w:hint="eastAsia" w:eastAsia="宋体"/>
                      <w:sz w:val="21"/>
                      <w:szCs w:val="21"/>
                    </w:rPr>
                    <w:t>4</w:t>
                  </w:r>
                  <w:r>
                    <w:rPr>
                      <w:rFonts w:eastAsia="宋体"/>
                      <w:sz w:val="21"/>
                      <w:szCs w:val="21"/>
                    </w:rPr>
                    <w:t>.3-</w:t>
                  </w:r>
                  <w:r>
                    <w:rPr>
                      <w:rFonts w:hint="eastAsia" w:eastAsia="宋体"/>
                      <w:sz w:val="21"/>
                      <w:szCs w:val="21"/>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85" w:type="pct"/>
                  <w:tcMar>
                    <w:left w:w="0" w:type="dxa"/>
                    <w:right w:w="0" w:type="dxa"/>
                  </w:tcMar>
                  <w:vAlign w:val="center"/>
                </w:tcPr>
                <w:p>
                  <w:pPr>
                    <w:adjustRightInd w:val="0"/>
                    <w:snapToGrid w:val="0"/>
                    <w:spacing w:line="240" w:lineRule="auto"/>
                    <w:jc w:val="center"/>
                    <w:rPr>
                      <w:rFonts w:hint="eastAsia" w:eastAsia="宋体"/>
                      <w:spacing w:val="4"/>
                      <w:sz w:val="21"/>
                      <w:szCs w:val="21"/>
                      <w:lang w:val="en-US" w:eastAsia="zh-CN"/>
                    </w:rPr>
                  </w:pPr>
                  <w:r>
                    <w:rPr>
                      <w:rFonts w:hint="eastAsia" w:eastAsia="宋体"/>
                      <w:spacing w:val="4"/>
                      <w:sz w:val="21"/>
                      <w:szCs w:val="21"/>
                      <w:lang w:val="en-US" w:eastAsia="zh-CN"/>
                    </w:rPr>
                    <w:t>5</w:t>
                  </w:r>
                </w:p>
              </w:tc>
              <w:tc>
                <w:tcPr>
                  <w:tcW w:w="919"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生活垃圾</w:t>
                  </w:r>
                </w:p>
              </w:tc>
              <w:tc>
                <w:tcPr>
                  <w:tcW w:w="749"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日常生活</w:t>
                  </w:r>
                </w:p>
              </w:tc>
              <w:tc>
                <w:tcPr>
                  <w:tcW w:w="541" w:type="pct"/>
                  <w:tcMar>
                    <w:left w:w="0" w:type="dxa"/>
                    <w:right w:w="0" w:type="dxa"/>
                  </w:tcMar>
                  <w:vAlign w:val="center"/>
                </w:tcPr>
                <w:p>
                  <w:pPr>
                    <w:widowControl/>
                    <w:spacing w:line="240" w:lineRule="auto"/>
                    <w:jc w:val="center"/>
                    <w:rPr>
                      <w:rFonts w:eastAsia="宋体"/>
                      <w:sz w:val="21"/>
                      <w:szCs w:val="21"/>
                    </w:rPr>
                  </w:pPr>
                  <w:r>
                    <w:rPr>
                      <w:rFonts w:hint="eastAsia" w:eastAsia="宋体"/>
                      <w:sz w:val="21"/>
                      <w:szCs w:val="21"/>
                    </w:rPr>
                    <w:t>固态</w:t>
                  </w:r>
                </w:p>
              </w:tc>
              <w:tc>
                <w:tcPr>
                  <w:tcW w:w="1316"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果皮、塑料、纸张等</w:t>
                  </w:r>
                </w:p>
              </w:tc>
              <w:tc>
                <w:tcPr>
                  <w:tcW w:w="596"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是</w:t>
                  </w:r>
                </w:p>
              </w:tc>
              <w:tc>
                <w:tcPr>
                  <w:tcW w:w="590" w:type="pct"/>
                  <w:vAlign w:val="center"/>
                </w:tcPr>
                <w:p>
                  <w:pPr>
                    <w:spacing w:line="240" w:lineRule="auto"/>
                    <w:jc w:val="center"/>
                    <w:rPr>
                      <w:rFonts w:eastAsia="宋体"/>
                      <w:sz w:val="21"/>
                      <w:szCs w:val="21"/>
                    </w:rPr>
                  </w:pPr>
                  <w:r>
                    <w:rPr>
                      <w:rFonts w:hint="eastAsia" w:eastAsia="宋体"/>
                      <w:sz w:val="21"/>
                      <w:szCs w:val="21"/>
                    </w:rPr>
                    <w:t>4</w:t>
                  </w:r>
                  <w:r>
                    <w:rPr>
                      <w:rFonts w:eastAsia="宋体"/>
                      <w:sz w:val="21"/>
                      <w:szCs w:val="21"/>
                    </w:rPr>
                    <w:t>.1-</w:t>
                  </w:r>
                  <w:r>
                    <w:rPr>
                      <w:rFonts w:hint="eastAsia" w:eastAsia="宋体"/>
                      <w:sz w:val="21"/>
                      <w:szCs w:val="21"/>
                    </w:rPr>
                    <w:t>h</w:t>
                  </w:r>
                </w:p>
              </w:tc>
            </w:tr>
          </w:tbl>
          <w:p>
            <w:pPr>
              <w:ind w:firstLine="480" w:firstLineChars="200"/>
              <w:rPr>
                <w:rFonts w:eastAsia="宋体"/>
              </w:rPr>
            </w:pPr>
            <w:r>
              <w:rPr>
                <w:rFonts w:eastAsia="宋体"/>
              </w:rPr>
              <w:t>根据《危险废物鉴别标准通则》</w:t>
            </w:r>
            <w:r>
              <w:rPr>
                <w:rFonts w:hint="eastAsia" w:eastAsia="宋体"/>
              </w:rPr>
              <w:t>（</w:t>
            </w:r>
            <w:r>
              <w:rPr>
                <w:rFonts w:eastAsia="宋体"/>
              </w:rPr>
              <w:t>GB5085.7-2019</w:t>
            </w:r>
            <w:r>
              <w:rPr>
                <w:rFonts w:hint="eastAsia" w:eastAsia="宋体"/>
              </w:rPr>
              <w:t>）</w:t>
            </w:r>
            <w:r>
              <w:rPr>
                <w:rFonts w:eastAsia="宋体"/>
              </w:rPr>
              <w:t>和《国家危险废物名录（2021年版）》，对本项目产生的固废进行危险废物属性判定，判定结果如下表所示。</w:t>
            </w:r>
          </w:p>
          <w:p>
            <w:pPr>
              <w:tabs>
                <w:tab w:val="left" w:pos="-735"/>
                <w:tab w:val="left" w:pos="-420"/>
              </w:tabs>
              <w:adjustRightInd w:val="0"/>
              <w:spacing w:before="156" w:beforeLines="50" w:line="240" w:lineRule="auto"/>
              <w:jc w:val="center"/>
              <w:rPr>
                <w:rFonts w:eastAsia="宋体"/>
                <w:b/>
                <w:snapToGrid w:val="0"/>
                <w:kern w:val="0"/>
                <w:sz w:val="21"/>
                <w:szCs w:val="20"/>
              </w:rPr>
            </w:pPr>
            <w:r>
              <w:rPr>
                <w:rFonts w:hint="eastAsia" w:eastAsia="宋体"/>
                <w:b/>
                <w:snapToGrid w:val="0"/>
                <w:kern w:val="0"/>
                <w:sz w:val="21"/>
                <w:szCs w:val="20"/>
                <w:highlight w:val="lightGray"/>
              </w:rPr>
              <w:t>表</w:t>
            </w:r>
            <w:r>
              <w:rPr>
                <w:rFonts w:hint="eastAsia" w:eastAsia="宋体"/>
                <w:b/>
                <w:snapToGrid w:val="0"/>
                <w:kern w:val="0"/>
                <w:sz w:val="21"/>
                <w:szCs w:val="20"/>
              </w:rPr>
              <w:t>4</w:t>
            </w:r>
            <w:r>
              <w:rPr>
                <w:rFonts w:eastAsia="宋体"/>
                <w:b/>
                <w:snapToGrid w:val="0"/>
                <w:kern w:val="0"/>
                <w:sz w:val="21"/>
                <w:szCs w:val="20"/>
              </w:rPr>
              <w:t>-</w:t>
            </w:r>
            <w:r>
              <w:rPr>
                <w:rFonts w:hint="eastAsia" w:eastAsia="宋体"/>
                <w:b/>
                <w:snapToGrid w:val="0"/>
                <w:kern w:val="0"/>
                <w:sz w:val="21"/>
                <w:szCs w:val="20"/>
              </w:rPr>
              <w:t>14固体</w:t>
            </w:r>
            <w:r>
              <w:rPr>
                <w:rFonts w:eastAsia="宋体"/>
                <w:b/>
                <w:snapToGrid w:val="0"/>
                <w:kern w:val="0"/>
                <w:sz w:val="21"/>
                <w:szCs w:val="20"/>
              </w:rPr>
              <w:t>废物属性判定</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1742"/>
              <w:gridCol w:w="1499"/>
              <w:gridCol w:w="1755"/>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336" w:type="pct"/>
                  <w:tcMar>
                    <w:left w:w="0" w:type="dxa"/>
                    <w:right w:w="0" w:type="dxa"/>
                  </w:tcMar>
                  <w:vAlign w:val="center"/>
                </w:tcPr>
                <w:p>
                  <w:pPr>
                    <w:spacing w:line="240" w:lineRule="auto"/>
                    <w:jc w:val="center"/>
                    <w:rPr>
                      <w:rFonts w:eastAsia="宋体"/>
                      <w:b/>
                      <w:bCs/>
                      <w:sz w:val="21"/>
                      <w:szCs w:val="21"/>
                    </w:rPr>
                  </w:pPr>
                  <w:r>
                    <w:rPr>
                      <w:rFonts w:eastAsia="宋体"/>
                      <w:b/>
                      <w:bCs/>
                      <w:sz w:val="21"/>
                      <w:szCs w:val="21"/>
                    </w:rPr>
                    <w:t>序号</w:t>
                  </w:r>
                </w:p>
              </w:tc>
              <w:tc>
                <w:tcPr>
                  <w:tcW w:w="1139" w:type="pct"/>
                  <w:tcMar>
                    <w:left w:w="0" w:type="dxa"/>
                    <w:right w:w="0" w:type="dxa"/>
                  </w:tcMar>
                  <w:vAlign w:val="center"/>
                </w:tcPr>
                <w:p>
                  <w:pPr>
                    <w:spacing w:line="240" w:lineRule="auto"/>
                    <w:jc w:val="center"/>
                    <w:rPr>
                      <w:rFonts w:eastAsia="宋体"/>
                      <w:b/>
                      <w:bCs/>
                      <w:sz w:val="21"/>
                      <w:szCs w:val="21"/>
                    </w:rPr>
                  </w:pPr>
                  <w:r>
                    <w:rPr>
                      <w:rFonts w:eastAsia="宋体"/>
                      <w:b/>
                      <w:bCs/>
                      <w:sz w:val="21"/>
                      <w:szCs w:val="21"/>
                    </w:rPr>
                    <w:t>废物</w:t>
                  </w:r>
                  <w:r>
                    <w:rPr>
                      <w:rFonts w:hint="eastAsia" w:eastAsia="宋体"/>
                      <w:b/>
                      <w:bCs/>
                      <w:sz w:val="21"/>
                      <w:szCs w:val="21"/>
                    </w:rPr>
                    <w:t>类别</w:t>
                  </w:r>
                </w:p>
              </w:tc>
              <w:tc>
                <w:tcPr>
                  <w:tcW w:w="980" w:type="pct"/>
                  <w:tcMar>
                    <w:left w:w="0" w:type="dxa"/>
                    <w:right w:w="0" w:type="dxa"/>
                  </w:tcMar>
                  <w:vAlign w:val="center"/>
                </w:tcPr>
                <w:p>
                  <w:pPr>
                    <w:spacing w:line="240" w:lineRule="auto"/>
                    <w:jc w:val="center"/>
                    <w:rPr>
                      <w:rFonts w:eastAsia="宋体"/>
                      <w:b/>
                      <w:bCs/>
                      <w:sz w:val="21"/>
                      <w:szCs w:val="21"/>
                    </w:rPr>
                  </w:pPr>
                  <w:r>
                    <w:rPr>
                      <w:rFonts w:eastAsia="宋体"/>
                      <w:b/>
                      <w:bCs/>
                      <w:sz w:val="21"/>
                      <w:szCs w:val="21"/>
                    </w:rPr>
                    <w:t>产生工序</w:t>
                  </w:r>
                </w:p>
              </w:tc>
              <w:tc>
                <w:tcPr>
                  <w:tcW w:w="1147" w:type="pct"/>
                  <w:tcMar>
                    <w:left w:w="0" w:type="dxa"/>
                    <w:right w:w="0" w:type="dxa"/>
                  </w:tcMar>
                  <w:vAlign w:val="center"/>
                </w:tcPr>
                <w:p>
                  <w:pPr>
                    <w:spacing w:line="240" w:lineRule="auto"/>
                    <w:jc w:val="center"/>
                    <w:rPr>
                      <w:rFonts w:eastAsia="宋体"/>
                      <w:b/>
                      <w:bCs/>
                      <w:sz w:val="21"/>
                      <w:szCs w:val="21"/>
                    </w:rPr>
                  </w:pPr>
                  <w:r>
                    <w:rPr>
                      <w:rFonts w:eastAsia="宋体"/>
                      <w:b/>
                      <w:bCs/>
                      <w:sz w:val="21"/>
                      <w:szCs w:val="21"/>
                    </w:rPr>
                    <w:t>是否属危险废物</w:t>
                  </w:r>
                </w:p>
              </w:tc>
              <w:tc>
                <w:tcPr>
                  <w:tcW w:w="1396" w:type="pct"/>
                  <w:tcMar>
                    <w:left w:w="0" w:type="dxa"/>
                    <w:right w:w="0" w:type="dxa"/>
                  </w:tcMar>
                  <w:vAlign w:val="center"/>
                </w:tcPr>
                <w:p>
                  <w:pPr>
                    <w:spacing w:line="240" w:lineRule="auto"/>
                    <w:jc w:val="center"/>
                    <w:rPr>
                      <w:rFonts w:eastAsia="宋体"/>
                      <w:b/>
                      <w:bCs/>
                      <w:sz w:val="21"/>
                      <w:szCs w:val="21"/>
                    </w:rPr>
                  </w:pPr>
                  <w:r>
                    <w:rPr>
                      <w:rFonts w:eastAsia="宋体"/>
                      <w:b/>
                      <w:bCs/>
                      <w:sz w:val="21"/>
                      <w:szCs w:val="21"/>
                    </w:rPr>
                    <w:t>废物代码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36" w:type="pct"/>
                  <w:tcMar>
                    <w:left w:w="0" w:type="dxa"/>
                    <w:right w:w="0" w:type="dxa"/>
                  </w:tcMar>
                  <w:vAlign w:val="center"/>
                </w:tcPr>
                <w:p>
                  <w:pPr>
                    <w:adjustRightInd w:val="0"/>
                    <w:snapToGrid w:val="0"/>
                    <w:spacing w:line="240" w:lineRule="auto"/>
                    <w:jc w:val="center"/>
                    <w:rPr>
                      <w:rFonts w:eastAsia="宋体"/>
                      <w:spacing w:val="4"/>
                      <w:sz w:val="21"/>
                      <w:szCs w:val="21"/>
                    </w:rPr>
                  </w:pPr>
                  <w:r>
                    <w:rPr>
                      <w:rFonts w:eastAsia="宋体"/>
                      <w:spacing w:val="4"/>
                      <w:sz w:val="21"/>
                      <w:szCs w:val="21"/>
                    </w:rPr>
                    <w:t>1</w:t>
                  </w:r>
                </w:p>
              </w:tc>
              <w:tc>
                <w:tcPr>
                  <w:tcW w:w="1139"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医务室医疗废物</w:t>
                  </w:r>
                </w:p>
              </w:tc>
              <w:tc>
                <w:tcPr>
                  <w:tcW w:w="980"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医疗</w:t>
                  </w:r>
                </w:p>
              </w:tc>
              <w:tc>
                <w:tcPr>
                  <w:tcW w:w="1147"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是</w:t>
                  </w:r>
                </w:p>
              </w:tc>
              <w:tc>
                <w:tcPr>
                  <w:tcW w:w="1396" w:type="pct"/>
                  <w:tcMar>
                    <w:left w:w="0" w:type="dxa"/>
                    <w:right w:w="0" w:type="dxa"/>
                  </w:tcMar>
                  <w:vAlign w:val="center"/>
                </w:tcPr>
                <w:p>
                  <w:pPr>
                    <w:spacing w:line="240" w:lineRule="auto"/>
                    <w:jc w:val="center"/>
                    <w:rPr>
                      <w:rFonts w:eastAsia="宋体"/>
                      <w:sz w:val="21"/>
                      <w:szCs w:val="21"/>
                    </w:rPr>
                  </w:pPr>
                  <w:r>
                    <w:rPr>
                      <w:rFonts w:eastAsia="宋体"/>
                      <w:sz w:val="21"/>
                      <w:szCs w:val="21"/>
                    </w:rPr>
                    <w:t>HW01</w:t>
                  </w:r>
                </w:p>
                <w:p>
                  <w:pPr>
                    <w:pStyle w:val="16"/>
                    <w:spacing w:line="240" w:lineRule="auto"/>
                    <w:jc w:val="center"/>
                  </w:pPr>
                  <w:r>
                    <w:rPr>
                      <w:rFonts w:ascii="Times New Roman" w:hAnsi="Times New Roman" w:eastAsia="宋体" w:cs="Times New Roman"/>
                      <w:sz w:val="21"/>
                      <w:szCs w:val="21"/>
                    </w:rPr>
                    <w:t>884-001-01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36" w:type="pct"/>
                  <w:tcMar>
                    <w:left w:w="0" w:type="dxa"/>
                    <w:right w:w="0" w:type="dxa"/>
                  </w:tcMar>
                  <w:vAlign w:val="center"/>
                </w:tcPr>
                <w:p>
                  <w:pPr>
                    <w:adjustRightInd w:val="0"/>
                    <w:snapToGrid w:val="0"/>
                    <w:spacing w:line="240" w:lineRule="auto"/>
                    <w:jc w:val="center"/>
                    <w:rPr>
                      <w:rFonts w:eastAsia="宋体"/>
                      <w:spacing w:val="4"/>
                      <w:sz w:val="21"/>
                      <w:szCs w:val="21"/>
                    </w:rPr>
                  </w:pPr>
                  <w:r>
                    <w:rPr>
                      <w:rFonts w:eastAsia="宋体"/>
                      <w:spacing w:val="4"/>
                      <w:sz w:val="21"/>
                      <w:szCs w:val="21"/>
                    </w:rPr>
                    <w:t>2</w:t>
                  </w:r>
                </w:p>
              </w:tc>
              <w:tc>
                <w:tcPr>
                  <w:tcW w:w="1139"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实验室废物</w:t>
                  </w:r>
                </w:p>
              </w:tc>
              <w:tc>
                <w:tcPr>
                  <w:tcW w:w="980"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实验教学</w:t>
                  </w:r>
                </w:p>
              </w:tc>
              <w:tc>
                <w:tcPr>
                  <w:tcW w:w="1147"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是</w:t>
                  </w:r>
                </w:p>
              </w:tc>
              <w:tc>
                <w:tcPr>
                  <w:tcW w:w="1396" w:type="pct"/>
                  <w:tcMar>
                    <w:left w:w="0" w:type="dxa"/>
                    <w:right w:w="0" w:type="dxa"/>
                  </w:tcMar>
                  <w:vAlign w:val="center"/>
                </w:tcPr>
                <w:p>
                  <w:pPr>
                    <w:spacing w:line="240" w:lineRule="auto"/>
                    <w:jc w:val="center"/>
                    <w:rPr>
                      <w:rFonts w:eastAsia="宋体"/>
                      <w:sz w:val="21"/>
                      <w:szCs w:val="21"/>
                    </w:rPr>
                  </w:pPr>
                  <w:r>
                    <w:rPr>
                      <w:rFonts w:eastAsia="宋体"/>
                      <w:sz w:val="21"/>
                      <w:szCs w:val="21"/>
                    </w:rPr>
                    <w:t>HW49</w:t>
                  </w:r>
                </w:p>
                <w:p>
                  <w:pPr>
                    <w:pStyle w:val="16"/>
                    <w:spacing w:line="240" w:lineRule="auto"/>
                    <w:jc w:val="center"/>
                  </w:pPr>
                  <w:r>
                    <w:rPr>
                      <w:rFonts w:ascii="Times New Roman" w:hAnsi="Times New Roman" w:eastAsia="宋体" w:cs="Times New Roman"/>
                      <w:sz w:val="21"/>
                      <w:szCs w:val="21"/>
                    </w:rPr>
                    <w:t>900-047-49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36" w:type="pct"/>
                  <w:tcMar>
                    <w:left w:w="0" w:type="dxa"/>
                    <w:right w:w="0" w:type="dxa"/>
                  </w:tcMar>
                  <w:vAlign w:val="center"/>
                </w:tcPr>
                <w:p>
                  <w:pPr>
                    <w:adjustRightInd w:val="0"/>
                    <w:snapToGrid w:val="0"/>
                    <w:spacing w:line="240" w:lineRule="auto"/>
                    <w:jc w:val="center"/>
                    <w:rPr>
                      <w:rFonts w:hint="default" w:eastAsia="宋体"/>
                      <w:spacing w:val="4"/>
                      <w:sz w:val="21"/>
                      <w:szCs w:val="21"/>
                      <w:lang w:val="en-US" w:eastAsia="zh-CN"/>
                    </w:rPr>
                  </w:pPr>
                  <w:r>
                    <w:rPr>
                      <w:rFonts w:hint="eastAsia" w:eastAsia="宋体"/>
                      <w:spacing w:val="4"/>
                      <w:sz w:val="21"/>
                      <w:szCs w:val="21"/>
                      <w:lang w:val="en-US" w:eastAsia="zh-CN"/>
                    </w:rPr>
                    <w:t>3</w:t>
                  </w:r>
                </w:p>
              </w:tc>
              <w:tc>
                <w:tcPr>
                  <w:tcW w:w="1139"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餐厨垃圾</w:t>
                  </w:r>
                </w:p>
              </w:tc>
              <w:tc>
                <w:tcPr>
                  <w:tcW w:w="980"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日常生活</w:t>
                  </w:r>
                </w:p>
              </w:tc>
              <w:tc>
                <w:tcPr>
                  <w:tcW w:w="1147"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否</w:t>
                  </w:r>
                </w:p>
              </w:tc>
              <w:tc>
                <w:tcPr>
                  <w:tcW w:w="1396" w:type="pct"/>
                  <w:tcMar>
                    <w:left w:w="0" w:type="dxa"/>
                    <w:right w:w="0" w:type="dxa"/>
                  </w:tcMar>
                  <w:vAlign w:val="center"/>
                </w:tcPr>
                <w:p>
                  <w:pPr>
                    <w:adjustRightInd w:val="0"/>
                    <w:snapToGrid w:val="0"/>
                    <w:spacing w:line="240" w:lineRule="auto"/>
                    <w:jc w:val="center"/>
                    <w:rPr>
                      <w:rFonts w:eastAsia="宋体"/>
                      <w:sz w:val="21"/>
                      <w:szCs w:val="21"/>
                      <w:lang w:val="zh-CN"/>
                    </w:rPr>
                  </w:pPr>
                  <w:r>
                    <w:rPr>
                      <w:rFonts w:hint="eastAsia" w:eastAsia="宋体"/>
                      <w:sz w:val="21"/>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36" w:type="pct"/>
                  <w:tcMar>
                    <w:left w:w="0" w:type="dxa"/>
                    <w:right w:w="0" w:type="dxa"/>
                  </w:tcMar>
                  <w:vAlign w:val="center"/>
                </w:tcPr>
                <w:p>
                  <w:pPr>
                    <w:adjustRightInd w:val="0"/>
                    <w:snapToGrid w:val="0"/>
                    <w:spacing w:line="240" w:lineRule="auto"/>
                    <w:jc w:val="center"/>
                    <w:rPr>
                      <w:rFonts w:hint="eastAsia" w:eastAsia="宋体"/>
                      <w:spacing w:val="4"/>
                      <w:sz w:val="21"/>
                      <w:szCs w:val="21"/>
                      <w:lang w:val="en-US" w:eastAsia="zh-CN"/>
                    </w:rPr>
                  </w:pPr>
                  <w:r>
                    <w:rPr>
                      <w:rFonts w:hint="eastAsia" w:eastAsia="宋体"/>
                      <w:spacing w:val="4"/>
                      <w:sz w:val="21"/>
                      <w:szCs w:val="21"/>
                      <w:lang w:val="en-US" w:eastAsia="zh-CN"/>
                    </w:rPr>
                    <w:t>4</w:t>
                  </w:r>
                </w:p>
              </w:tc>
              <w:tc>
                <w:tcPr>
                  <w:tcW w:w="1139"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废油脂</w:t>
                  </w:r>
                </w:p>
              </w:tc>
              <w:tc>
                <w:tcPr>
                  <w:tcW w:w="980"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废水处理</w:t>
                  </w:r>
                </w:p>
              </w:tc>
              <w:tc>
                <w:tcPr>
                  <w:tcW w:w="1147"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否</w:t>
                  </w:r>
                </w:p>
              </w:tc>
              <w:tc>
                <w:tcPr>
                  <w:tcW w:w="1396" w:type="pct"/>
                  <w:tcMar>
                    <w:left w:w="0" w:type="dxa"/>
                    <w:right w:w="0" w:type="dxa"/>
                  </w:tcMar>
                  <w:vAlign w:val="center"/>
                </w:tcPr>
                <w:p>
                  <w:pPr>
                    <w:adjustRightInd w:val="0"/>
                    <w:snapToGrid w:val="0"/>
                    <w:spacing w:line="240" w:lineRule="auto"/>
                    <w:jc w:val="center"/>
                    <w:rPr>
                      <w:rFonts w:eastAsia="宋体"/>
                      <w:sz w:val="21"/>
                      <w:szCs w:val="21"/>
                      <w:lang w:val="zh-CN"/>
                    </w:rPr>
                  </w:pPr>
                  <w:r>
                    <w:rPr>
                      <w:rFonts w:hint="eastAsia" w:eastAsia="宋体"/>
                      <w:sz w:val="21"/>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36" w:type="pct"/>
                  <w:tcMar>
                    <w:left w:w="0" w:type="dxa"/>
                    <w:right w:w="0" w:type="dxa"/>
                  </w:tcMar>
                  <w:vAlign w:val="center"/>
                </w:tcPr>
                <w:p>
                  <w:pPr>
                    <w:adjustRightInd w:val="0"/>
                    <w:snapToGrid w:val="0"/>
                    <w:spacing w:line="240" w:lineRule="auto"/>
                    <w:jc w:val="center"/>
                    <w:rPr>
                      <w:rFonts w:hint="eastAsia" w:eastAsia="宋体"/>
                      <w:spacing w:val="4"/>
                      <w:sz w:val="21"/>
                      <w:szCs w:val="21"/>
                      <w:lang w:val="en-US" w:eastAsia="zh-CN"/>
                    </w:rPr>
                  </w:pPr>
                  <w:r>
                    <w:rPr>
                      <w:rFonts w:hint="eastAsia" w:eastAsia="宋体"/>
                      <w:spacing w:val="4"/>
                      <w:sz w:val="21"/>
                      <w:szCs w:val="21"/>
                      <w:lang w:val="en-US" w:eastAsia="zh-CN"/>
                    </w:rPr>
                    <w:t>5</w:t>
                  </w:r>
                </w:p>
              </w:tc>
              <w:tc>
                <w:tcPr>
                  <w:tcW w:w="1139"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生活垃圾</w:t>
                  </w:r>
                </w:p>
              </w:tc>
              <w:tc>
                <w:tcPr>
                  <w:tcW w:w="980"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日常生活</w:t>
                  </w:r>
                </w:p>
              </w:tc>
              <w:tc>
                <w:tcPr>
                  <w:tcW w:w="1147" w:type="pct"/>
                  <w:tcMar>
                    <w:left w:w="0" w:type="dxa"/>
                    <w:right w:w="0" w:type="dxa"/>
                  </w:tcMar>
                  <w:vAlign w:val="center"/>
                </w:tcPr>
                <w:p>
                  <w:pPr>
                    <w:spacing w:line="240" w:lineRule="auto"/>
                    <w:jc w:val="center"/>
                    <w:rPr>
                      <w:rFonts w:eastAsia="宋体"/>
                      <w:sz w:val="21"/>
                      <w:szCs w:val="21"/>
                    </w:rPr>
                  </w:pPr>
                  <w:r>
                    <w:rPr>
                      <w:rFonts w:hint="eastAsia" w:eastAsia="宋体"/>
                      <w:sz w:val="21"/>
                      <w:szCs w:val="21"/>
                    </w:rPr>
                    <w:t>否</w:t>
                  </w:r>
                </w:p>
              </w:tc>
              <w:tc>
                <w:tcPr>
                  <w:tcW w:w="1396" w:type="pct"/>
                  <w:tcMar>
                    <w:left w:w="0" w:type="dxa"/>
                    <w:right w:w="0" w:type="dxa"/>
                  </w:tcMar>
                  <w:vAlign w:val="center"/>
                </w:tcPr>
                <w:p>
                  <w:pPr>
                    <w:adjustRightInd w:val="0"/>
                    <w:snapToGrid w:val="0"/>
                    <w:spacing w:line="240" w:lineRule="auto"/>
                    <w:jc w:val="center"/>
                    <w:rPr>
                      <w:rFonts w:eastAsia="宋体"/>
                      <w:sz w:val="21"/>
                      <w:szCs w:val="21"/>
                      <w:lang w:val="zh-CN"/>
                    </w:rPr>
                  </w:pPr>
                  <w:r>
                    <w:rPr>
                      <w:rFonts w:hint="eastAsia" w:eastAsia="宋体"/>
                      <w:sz w:val="21"/>
                      <w:szCs w:val="21"/>
                      <w:lang w:val="zh-CN"/>
                    </w:rPr>
                    <w:t>-</w:t>
                  </w:r>
                </w:p>
              </w:tc>
            </w:tr>
          </w:tbl>
          <w:p>
            <w:pPr>
              <w:pStyle w:val="40"/>
              <w:adjustRightInd w:val="0"/>
              <w:snapToGrid w:val="0"/>
              <w:spacing w:before="156" w:beforeLines="50"/>
              <w:rPr>
                <w:rFonts w:eastAsia="宋体"/>
              </w:rPr>
            </w:pPr>
            <w:r>
              <w:rPr>
                <w:rFonts w:eastAsia="宋体"/>
              </w:rPr>
              <w:t>（3）汇总</w:t>
            </w:r>
          </w:p>
          <w:p>
            <w:pPr>
              <w:pStyle w:val="40"/>
              <w:adjustRightInd w:val="0"/>
              <w:snapToGrid w:val="0"/>
              <w:rPr>
                <w:rFonts w:eastAsia="宋体"/>
              </w:rPr>
            </w:pPr>
            <w:r>
              <w:rPr>
                <w:rFonts w:hint="eastAsia" w:eastAsia="宋体"/>
              </w:rPr>
              <w:t>本项目固体废物产生及利用处置情况汇总见表4-1</w:t>
            </w:r>
            <w:r>
              <w:rPr>
                <w:rFonts w:eastAsia="宋体"/>
              </w:rPr>
              <w:t>4</w:t>
            </w:r>
            <w:r>
              <w:rPr>
                <w:rFonts w:hint="eastAsia" w:eastAsia="宋体"/>
              </w:rPr>
              <w:t>。</w:t>
            </w:r>
          </w:p>
          <w:p>
            <w:pPr>
              <w:pStyle w:val="5"/>
              <w:spacing w:before="156" w:beforeLines="50"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表4</w:t>
            </w:r>
            <w:r>
              <w:rPr>
                <w:rFonts w:ascii="Times New Roman" w:hAnsi="Times New Roman" w:eastAsia="宋体" w:cs="Times New Roman"/>
                <w:sz w:val="21"/>
                <w:szCs w:val="21"/>
              </w:rPr>
              <w:t>-</w:t>
            </w:r>
            <w:r>
              <w:rPr>
                <w:rFonts w:hint="eastAsia" w:ascii="Times New Roman" w:hAnsi="Times New Roman" w:eastAsia="宋体" w:cs="Times New Roman"/>
                <w:sz w:val="21"/>
                <w:szCs w:val="21"/>
              </w:rPr>
              <w:t>15</w:t>
            </w:r>
            <w:r>
              <w:rPr>
                <w:rFonts w:ascii="Times New Roman" w:hAnsi="Times New Roman" w:eastAsia="宋体" w:cs="Times New Roman"/>
                <w:sz w:val="21"/>
                <w:szCs w:val="21"/>
              </w:rPr>
              <w:t>固体废物污染源源强核算一览表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482"/>
              <w:gridCol w:w="960"/>
              <w:gridCol w:w="574"/>
              <w:gridCol w:w="617"/>
              <w:gridCol w:w="687"/>
              <w:gridCol w:w="1538"/>
              <w:gridCol w:w="829"/>
              <w:gridCol w:w="724"/>
              <w:gridCol w:w="123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tblHeader/>
                <w:jc w:val="center"/>
              </w:trPr>
              <w:tc>
                <w:tcPr>
                  <w:tcW w:w="315" w:type="pct"/>
                  <w:vAlign w:val="center"/>
                </w:tcPr>
                <w:p>
                  <w:pPr>
                    <w:widowControl/>
                    <w:adjustRightInd w:val="0"/>
                    <w:snapToGrid w:val="0"/>
                    <w:spacing w:line="240" w:lineRule="auto"/>
                    <w:jc w:val="center"/>
                    <w:rPr>
                      <w:rFonts w:eastAsia="宋体"/>
                      <w:b/>
                      <w:bCs/>
                      <w:sz w:val="21"/>
                      <w:szCs w:val="21"/>
                    </w:rPr>
                  </w:pPr>
                  <w:r>
                    <w:rPr>
                      <w:rFonts w:eastAsia="宋体"/>
                      <w:b/>
                      <w:bCs/>
                      <w:sz w:val="21"/>
                      <w:szCs w:val="21"/>
                    </w:rPr>
                    <w:t>序号</w:t>
                  </w:r>
                </w:p>
              </w:tc>
              <w:tc>
                <w:tcPr>
                  <w:tcW w:w="627" w:type="pct"/>
                  <w:vAlign w:val="center"/>
                </w:tcPr>
                <w:p>
                  <w:pPr>
                    <w:widowControl/>
                    <w:adjustRightInd w:val="0"/>
                    <w:snapToGrid w:val="0"/>
                    <w:spacing w:line="240" w:lineRule="auto"/>
                    <w:jc w:val="center"/>
                    <w:rPr>
                      <w:rFonts w:eastAsia="宋体"/>
                      <w:b/>
                      <w:bCs/>
                      <w:sz w:val="21"/>
                      <w:szCs w:val="21"/>
                    </w:rPr>
                  </w:pPr>
                  <w:r>
                    <w:rPr>
                      <w:rFonts w:hint="eastAsia" w:eastAsia="宋体"/>
                      <w:b/>
                      <w:bCs/>
                      <w:sz w:val="21"/>
                      <w:szCs w:val="21"/>
                    </w:rPr>
                    <w:t>废物类别</w:t>
                  </w:r>
                </w:p>
              </w:tc>
              <w:tc>
                <w:tcPr>
                  <w:tcW w:w="375" w:type="pct"/>
                  <w:vAlign w:val="center"/>
                </w:tcPr>
                <w:p>
                  <w:pPr>
                    <w:widowControl/>
                    <w:adjustRightInd w:val="0"/>
                    <w:snapToGrid w:val="0"/>
                    <w:spacing w:line="240" w:lineRule="auto"/>
                    <w:jc w:val="center"/>
                    <w:rPr>
                      <w:rFonts w:eastAsia="宋体"/>
                      <w:b/>
                      <w:bCs/>
                      <w:sz w:val="21"/>
                      <w:szCs w:val="21"/>
                    </w:rPr>
                  </w:pPr>
                  <w:r>
                    <w:rPr>
                      <w:rFonts w:eastAsia="宋体"/>
                      <w:b/>
                      <w:bCs/>
                      <w:sz w:val="21"/>
                      <w:szCs w:val="21"/>
                    </w:rPr>
                    <w:t>产生环节</w:t>
                  </w:r>
                </w:p>
              </w:tc>
              <w:tc>
                <w:tcPr>
                  <w:tcW w:w="403" w:type="pct"/>
                  <w:vAlign w:val="center"/>
                </w:tcPr>
                <w:p>
                  <w:pPr>
                    <w:adjustRightInd w:val="0"/>
                    <w:snapToGrid w:val="0"/>
                    <w:spacing w:line="240" w:lineRule="auto"/>
                    <w:jc w:val="center"/>
                    <w:rPr>
                      <w:rFonts w:eastAsia="宋体"/>
                      <w:b/>
                      <w:bCs/>
                      <w:sz w:val="21"/>
                      <w:szCs w:val="21"/>
                    </w:rPr>
                  </w:pPr>
                  <w:r>
                    <w:rPr>
                      <w:rFonts w:eastAsia="宋体"/>
                      <w:b/>
                      <w:bCs/>
                      <w:sz w:val="21"/>
                      <w:szCs w:val="21"/>
                    </w:rPr>
                    <w:t>固废属性</w:t>
                  </w:r>
                </w:p>
              </w:tc>
              <w:tc>
                <w:tcPr>
                  <w:tcW w:w="449" w:type="pct"/>
                  <w:tcBorders>
                    <w:left w:val="single" w:color="auto" w:sz="4" w:space="0"/>
                    <w:right w:val="single" w:color="auto" w:sz="4" w:space="0"/>
                  </w:tcBorders>
                  <w:vAlign w:val="center"/>
                </w:tcPr>
                <w:p>
                  <w:pPr>
                    <w:widowControl/>
                    <w:adjustRightInd w:val="0"/>
                    <w:snapToGrid w:val="0"/>
                    <w:spacing w:line="240" w:lineRule="auto"/>
                    <w:jc w:val="center"/>
                    <w:rPr>
                      <w:rFonts w:eastAsia="宋体"/>
                      <w:b/>
                      <w:bCs/>
                      <w:sz w:val="21"/>
                      <w:szCs w:val="21"/>
                    </w:rPr>
                  </w:pPr>
                  <w:r>
                    <w:rPr>
                      <w:rFonts w:eastAsia="宋体"/>
                      <w:b/>
                      <w:bCs/>
                      <w:sz w:val="21"/>
                      <w:szCs w:val="21"/>
                    </w:rPr>
                    <w:t>物理</w:t>
                  </w:r>
                </w:p>
                <w:p>
                  <w:pPr>
                    <w:adjustRightInd w:val="0"/>
                    <w:snapToGrid w:val="0"/>
                    <w:spacing w:line="240" w:lineRule="auto"/>
                    <w:jc w:val="center"/>
                    <w:rPr>
                      <w:rFonts w:eastAsia="宋体"/>
                      <w:b/>
                      <w:bCs/>
                      <w:sz w:val="21"/>
                      <w:szCs w:val="21"/>
                    </w:rPr>
                  </w:pPr>
                  <w:r>
                    <w:rPr>
                      <w:rFonts w:eastAsia="宋体"/>
                      <w:b/>
                      <w:bCs/>
                      <w:sz w:val="21"/>
                      <w:szCs w:val="21"/>
                    </w:rPr>
                    <w:t>性状</w:t>
                  </w:r>
                </w:p>
              </w:tc>
              <w:tc>
                <w:tcPr>
                  <w:tcW w:w="1004" w:type="pct"/>
                  <w:tcBorders>
                    <w:left w:val="single" w:color="auto" w:sz="4" w:space="0"/>
                  </w:tcBorders>
                  <w:vAlign w:val="center"/>
                </w:tcPr>
                <w:p>
                  <w:pPr>
                    <w:adjustRightInd w:val="0"/>
                    <w:snapToGrid w:val="0"/>
                    <w:spacing w:line="240" w:lineRule="auto"/>
                    <w:jc w:val="center"/>
                    <w:rPr>
                      <w:rFonts w:eastAsia="宋体"/>
                      <w:b/>
                      <w:bCs/>
                      <w:sz w:val="21"/>
                      <w:szCs w:val="21"/>
                    </w:rPr>
                  </w:pPr>
                  <w:r>
                    <w:rPr>
                      <w:rFonts w:eastAsia="宋体"/>
                      <w:b/>
                      <w:bCs/>
                      <w:sz w:val="21"/>
                      <w:szCs w:val="21"/>
                    </w:rPr>
                    <w:t>主要有毒有害物质名称</w:t>
                  </w:r>
                </w:p>
              </w:tc>
              <w:tc>
                <w:tcPr>
                  <w:tcW w:w="542" w:type="pct"/>
                  <w:tcBorders>
                    <w:left w:val="single" w:color="auto" w:sz="4" w:space="0"/>
                    <w:right w:val="single" w:color="auto" w:sz="4" w:space="0"/>
                  </w:tcBorders>
                  <w:vAlign w:val="center"/>
                </w:tcPr>
                <w:p>
                  <w:pPr>
                    <w:adjustRightInd w:val="0"/>
                    <w:snapToGrid w:val="0"/>
                    <w:spacing w:line="240" w:lineRule="auto"/>
                    <w:jc w:val="center"/>
                    <w:rPr>
                      <w:rFonts w:eastAsia="宋体"/>
                      <w:b/>
                      <w:bCs/>
                      <w:sz w:val="21"/>
                      <w:szCs w:val="21"/>
                    </w:rPr>
                  </w:pPr>
                  <w:r>
                    <w:rPr>
                      <w:rFonts w:eastAsia="宋体"/>
                      <w:b/>
                      <w:bCs/>
                      <w:sz w:val="21"/>
                      <w:szCs w:val="21"/>
                    </w:rPr>
                    <w:t>产生量</w:t>
                  </w:r>
                </w:p>
                <w:p>
                  <w:pPr>
                    <w:adjustRightInd w:val="0"/>
                    <w:snapToGrid w:val="0"/>
                    <w:spacing w:line="240" w:lineRule="auto"/>
                    <w:jc w:val="center"/>
                    <w:rPr>
                      <w:rFonts w:eastAsia="宋体"/>
                      <w:b/>
                      <w:bCs/>
                      <w:sz w:val="21"/>
                      <w:szCs w:val="21"/>
                    </w:rPr>
                  </w:pPr>
                  <w:r>
                    <w:rPr>
                      <w:rFonts w:eastAsia="宋体"/>
                      <w:b/>
                      <w:bCs/>
                      <w:sz w:val="21"/>
                      <w:szCs w:val="21"/>
                    </w:rPr>
                    <w:t>（t/a）</w:t>
                  </w:r>
                </w:p>
              </w:tc>
              <w:tc>
                <w:tcPr>
                  <w:tcW w:w="473" w:type="pct"/>
                  <w:tcBorders>
                    <w:left w:val="single" w:color="auto" w:sz="4" w:space="0"/>
                  </w:tcBorders>
                  <w:vAlign w:val="center"/>
                </w:tcPr>
                <w:p>
                  <w:pPr>
                    <w:adjustRightInd w:val="0"/>
                    <w:snapToGrid w:val="0"/>
                    <w:spacing w:line="240" w:lineRule="auto"/>
                    <w:jc w:val="center"/>
                    <w:rPr>
                      <w:rFonts w:eastAsia="宋体"/>
                      <w:b/>
                      <w:bCs/>
                      <w:sz w:val="21"/>
                      <w:szCs w:val="21"/>
                    </w:rPr>
                  </w:pPr>
                  <w:r>
                    <w:rPr>
                      <w:rFonts w:eastAsia="宋体"/>
                      <w:b/>
                      <w:bCs/>
                      <w:sz w:val="21"/>
                      <w:szCs w:val="21"/>
                    </w:rPr>
                    <w:t>利用或处置量（t/a）</w:t>
                  </w:r>
                </w:p>
              </w:tc>
              <w:tc>
                <w:tcPr>
                  <w:tcW w:w="809" w:type="pct"/>
                  <w:vAlign w:val="center"/>
                </w:tcPr>
                <w:p>
                  <w:pPr>
                    <w:adjustRightInd w:val="0"/>
                    <w:snapToGrid w:val="0"/>
                    <w:spacing w:line="240" w:lineRule="auto"/>
                    <w:jc w:val="center"/>
                    <w:rPr>
                      <w:rFonts w:eastAsia="宋体"/>
                      <w:b/>
                      <w:bCs/>
                      <w:sz w:val="21"/>
                      <w:szCs w:val="21"/>
                    </w:rPr>
                  </w:pPr>
                  <w:r>
                    <w:rPr>
                      <w:rFonts w:eastAsia="宋体"/>
                      <w:b/>
                      <w:bCs/>
                      <w:sz w:val="21"/>
                      <w:szCs w:val="21"/>
                    </w:rPr>
                    <w:t>最终去向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5" w:type="pct"/>
                  <w:vAlign w:val="center"/>
                </w:tcPr>
                <w:p>
                  <w:pPr>
                    <w:widowControl/>
                    <w:adjustRightInd w:val="0"/>
                    <w:snapToGrid w:val="0"/>
                    <w:spacing w:line="240" w:lineRule="auto"/>
                    <w:jc w:val="center"/>
                    <w:rPr>
                      <w:rFonts w:eastAsia="宋体"/>
                      <w:sz w:val="21"/>
                      <w:szCs w:val="21"/>
                    </w:rPr>
                  </w:pPr>
                  <w:r>
                    <w:rPr>
                      <w:rFonts w:eastAsia="宋体"/>
                      <w:sz w:val="21"/>
                      <w:szCs w:val="21"/>
                    </w:rPr>
                    <w:t>1</w:t>
                  </w:r>
                </w:p>
              </w:tc>
              <w:tc>
                <w:tcPr>
                  <w:tcW w:w="627" w:type="pct"/>
                  <w:vAlign w:val="center"/>
                </w:tcPr>
                <w:p>
                  <w:pPr>
                    <w:widowControl/>
                    <w:adjustRightInd w:val="0"/>
                    <w:snapToGrid w:val="0"/>
                    <w:spacing w:line="240" w:lineRule="auto"/>
                    <w:jc w:val="center"/>
                    <w:rPr>
                      <w:rFonts w:eastAsia="宋体"/>
                      <w:sz w:val="21"/>
                      <w:szCs w:val="21"/>
                    </w:rPr>
                  </w:pPr>
                  <w:r>
                    <w:rPr>
                      <w:rFonts w:hint="eastAsia" w:eastAsia="宋体"/>
                      <w:sz w:val="21"/>
                      <w:szCs w:val="21"/>
                    </w:rPr>
                    <w:t>餐厨垃圾</w:t>
                  </w:r>
                </w:p>
              </w:tc>
              <w:tc>
                <w:tcPr>
                  <w:tcW w:w="375" w:type="pct"/>
                  <w:vAlign w:val="center"/>
                </w:tcPr>
                <w:p>
                  <w:pPr>
                    <w:widowControl/>
                    <w:adjustRightInd w:val="0"/>
                    <w:snapToGrid w:val="0"/>
                    <w:spacing w:line="240" w:lineRule="auto"/>
                    <w:jc w:val="center"/>
                    <w:rPr>
                      <w:rFonts w:eastAsia="宋体"/>
                      <w:sz w:val="21"/>
                      <w:szCs w:val="21"/>
                    </w:rPr>
                  </w:pPr>
                  <w:r>
                    <w:rPr>
                      <w:rFonts w:hint="eastAsia" w:eastAsia="宋体"/>
                      <w:sz w:val="21"/>
                      <w:szCs w:val="21"/>
                    </w:rPr>
                    <w:t>食堂餐饮</w:t>
                  </w:r>
                </w:p>
              </w:tc>
              <w:tc>
                <w:tcPr>
                  <w:tcW w:w="403" w:type="pct"/>
                  <w:vAlign w:val="center"/>
                </w:tcPr>
                <w:p>
                  <w:pPr>
                    <w:widowControl/>
                    <w:adjustRightInd w:val="0"/>
                    <w:snapToGrid w:val="0"/>
                    <w:spacing w:line="240" w:lineRule="auto"/>
                    <w:jc w:val="center"/>
                    <w:rPr>
                      <w:rFonts w:eastAsia="宋体"/>
                      <w:sz w:val="21"/>
                      <w:szCs w:val="21"/>
                    </w:rPr>
                  </w:pPr>
                  <w:r>
                    <w:rPr>
                      <w:rFonts w:hint="eastAsia" w:eastAsia="宋体"/>
                      <w:sz w:val="21"/>
                      <w:szCs w:val="21"/>
                    </w:rPr>
                    <w:t>生活垃圾</w:t>
                  </w:r>
                </w:p>
              </w:tc>
              <w:tc>
                <w:tcPr>
                  <w:tcW w:w="449" w:type="pct"/>
                  <w:tcBorders>
                    <w:right w:val="single" w:color="auto" w:sz="4" w:space="0"/>
                  </w:tcBorders>
                  <w:vAlign w:val="center"/>
                </w:tcPr>
                <w:p>
                  <w:pPr>
                    <w:widowControl/>
                    <w:adjustRightInd w:val="0"/>
                    <w:snapToGrid w:val="0"/>
                    <w:spacing w:line="240" w:lineRule="auto"/>
                    <w:jc w:val="center"/>
                    <w:rPr>
                      <w:rFonts w:eastAsia="宋体"/>
                      <w:sz w:val="21"/>
                      <w:szCs w:val="21"/>
                    </w:rPr>
                  </w:pPr>
                  <w:r>
                    <w:rPr>
                      <w:rFonts w:hint="eastAsia" w:eastAsia="宋体"/>
                      <w:sz w:val="21"/>
                      <w:szCs w:val="21"/>
                    </w:rPr>
                    <w:t>固态</w:t>
                  </w:r>
                </w:p>
              </w:tc>
              <w:tc>
                <w:tcPr>
                  <w:tcW w:w="1004" w:type="pct"/>
                  <w:tcBorders>
                    <w:left w:val="single" w:color="auto" w:sz="4" w:space="0"/>
                  </w:tcBorders>
                  <w:vAlign w:val="center"/>
                </w:tcPr>
                <w:p>
                  <w:pPr>
                    <w:widowControl/>
                    <w:adjustRightInd w:val="0"/>
                    <w:snapToGrid w:val="0"/>
                    <w:spacing w:line="240" w:lineRule="auto"/>
                    <w:jc w:val="center"/>
                    <w:rPr>
                      <w:rFonts w:eastAsia="宋体"/>
                      <w:sz w:val="21"/>
                      <w:szCs w:val="21"/>
                    </w:rPr>
                  </w:pPr>
                  <w:r>
                    <w:rPr>
                      <w:rFonts w:hint="eastAsia" w:eastAsia="宋体"/>
                      <w:sz w:val="21"/>
                      <w:szCs w:val="21"/>
                    </w:rPr>
                    <w:t>/</w:t>
                  </w:r>
                </w:p>
              </w:tc>
              <w:tc>
                <w:tcPr>
                  <w:tcW w:w="542" w:type="pct"/>
                  <w:tcBorders>
                    <w:left w:val="single" w:color="auto" w:sz="4" w:space="0"/>
                    <w:right w:val="single" w:color="auto" w:sz="4" w:space="0"/>
                  </w:tcBorders>
                  <w:vAlign w:val="center"/>
                </w:tcPr>
                <w:p>
                  <w:pPr>
                    <w:widowControl/>
                    <w:adjustRightInd w:val="0"/>
                    <w:snapToGrid w:val="0"/>
                    <w:spacing w:line="240" w:lineRule="auto"/>
                    <w:jc w:val="center"/>
                    <w:rPr>
                      <w:rFonts w:hint="default" w:eastAsia="宋体"/>
                      <w:sz w:val="21"/>
                      <w:szCs w:val="21"/>
                      <w:lang w:val="en-US" w:eastAsia="zh-CN"/>
                    </w:rPr>
                  </w:pPr>
                  <w:r>
                    <w:rPr>
                      <w:rFonts w:hint="eastAsia" w:eastAsia="宋体"/>
                      <w:sz w:val="21"/>
                      <w:szCs w:val="21"/>
                      <w:lang w:val="en-US" w:eastAsia="zh-CN"/>
                    </w:rPr>
                    <w:t>107.81</w:t>
                  </w:r>
                </w:p>
              </w:tc>
              <w:tc>
                <w:tcPr>
                  <w:tcW w:w="473" w:type="pct"/>
                  <w:tcBorders>
                    <w:left w:val="single" w:color="auto" w:sz="4" w:space="0"/>
                  </w:tcBorders>
                  <w:vAlign w:val="center"/>
                </w:tcPr>
                <w:p>
                  <w:pPr>
                    <w:widowControl/>
                    <w:adjustRightInd w:val="0"/>
                    <w:snapToGrid w:val="0"/>
                    <w:spacing w:line="240" w:lineRule="auto"/>
                    <w:jc w:val="center"/>
                    <w:rPr>
                      <w:rFonts w:eastAsia="宋体"/>
                      <w:sz w:val="21"/>
                      <w:szCs w:val="21"/>
                    </w:rPr>
                  </w:pPr>
                  <w:r>
                    <w:rPr>
                      <w:rFonts w:hint="eastAsia" w:eastAsia="宋体"/>
                      <w:sz w:val="21"/>
                      <w:szCs w:val="21"/>
                      <w:lang w:val="en-US" w:eastAsia="zh-CN"/>
                    </w:rPr>
                    <w:t>107.81</w:t>
                  </w:r>
                </w:p>
              </w:tc>
              <w:tc>
                <w:tcPr>
                  <w:tcW w:w="809" w:type="pct"/>
                  <w:vAlign w:val="center"/>
                </w:tcPr>
                <w:p>
                  <w:pPr>
                    <w:widowControl/>
                    <w:adjustRightInd w:val="0"/>
                    <w:snapToGrid w:val="0"/>
                    <w:spacing w:line="240" w:lineRule="auto"/>
                    <w:jc w:val="center"/>
                    <w:rPr>
                      <w:rFonts w:eastAsia="宋体"/>
                      <w:sz w:val="21"/>
                      <w:szCs w:val="21"/>
                    </w:rPr>
                  </w:pPr>
                  <w:r>
                    <w:rPr>
                      <w:rFonts w:hint="eastAsia" w:eastAsia="宋体"/>
                      <w:sz w:val="21"/>
                      <w:szCs w:val="21"/>
                    </w:rPr>
                    <w:t>由餐厨垃圾处理单位回收处理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5" w:type="pct"/>
                  <w:vAlign w:val="center"/>
                </w:tcPr>
                <w:p>
                  <w:pPr>
                    <w:widowControl/>
                    <w:adjustRightInd w:val="0"/>
                    <w:snapToGrid w:val="0"/>
                    <w:spacing w:line="240" w:lineRule="auto"/>
                    <w:jc w:val="center"/>
                    <w:rPr>
                      <w:rFonts w:eastAsia="宋体"/>
                      <w:sz w:val="21"/>
                      <w:szCs w:val="21"/>
                    </w:rPr>
                  </w:pPr>
                  <w:r>
                    <w:rPr>
                      <w:rFonts w:hint="eastAsia" w:eastAsia="宋体"/>
                      <w:sz w:val="21"/>
                      <w:szCs w:val="21"/>
                    </w:rPr>
                    <w:t>2</w:t>
                  </w:r>
                </w:p>
              </w:tc>
              <w:tc>
                <w:tcPr>
                  <w:tcW w:w="627" w:type="pct"/>
                  <w:vAlign w:val="center"/>
                </w:tcPr>
                <w:p>
                  <w:pPr>
                    <w:widowControl/>
                    <w:adjustRightInd w:val="0"/>
                    <w:snapToGrid w:val="0"/>
                    <w:spacing w:line="240" w:lineRule="auto"/>
                    <w:jc w:val="center"/>
                    <w:rPr>
                      <w:rFonts w:eastAsia="宋体"/>
                      <w:sz w:val="21"/>
                      <w:szCs w:val="21"/>
                    </w:rPr>
                  </w:pPr>
                  <w:r>
                    <w:rPr>
                      <w:rFonts w:hint="eastAsia" w:eastAsia="宋体"/>
                      <w:sz w:val="21"/>
                      <w:szCs w:val="21"/>
                    </w:rPr>
                    <w:t>废油脂</w:t>
                  </w:r>
                </w:p>
              </w:tc>
              <w:tc>
                <w:tcPr>
                  <w:tcW w:w="375" w:type="pct"/>
                  <w:vAlign w:val="center"/>
                </w:tcPr>
                <w:p>
                  <w:pPr>
                    <w:widowControl/>
                    <w:adjustRightInd w:val="0"/>
                    <w:snapToGrid w:val="0"/>
                    <w:spacing w:line="240" w:lineRule="auto"/>
                    <w:jc w:val="center"/>
                    <w:rPr>
                      <w:rFonts w:eastAsia="宋体"/>
                      <w:sz w:val="21"/>
                      <w:szCs w:val="21"/>
                    </w:rPr>
                  </w:pPr>
                  <w:r>
                    <w:rPr>
                      <w:rFonts w:hint="eastAsia" w:eastAsia="宋体"/>
                      <w:sz w:val="21"/>
                      <w:szCs w:val="21"/>
                    </w:rPr>
                    <w:t>废水处理</w:t>
                  </w:r>
                </w:p>
              </w:tc>
              <w:tc>
                <w:tcPr>
                  <w:tcW w:w="403" w:type="pct"/>
                  <w:vAlign w:val="center"/>
                </w:tcPr>
                <w:p>
                  <w:pPr>
                    <w:widowControl/>
                    <w:adjustRightInd w:val="0"/>
                    <w:snapToGrid w:val="0"/>
                    <w:spacing w:line="240" w:lineRule="auto"/>
                    <w:jc w:val="center"/>
                    <w:rPr>
                      <w:rFonts w:eastAsia="宋体"/>
                      <w:sz w:val="21"/>
                      <w:szCs w:val="21"/>
                    </w:rPr>
                  </w:pPr>
                  <w:r>
                    <w:rPr>
                      <w:rFonts w:hint="eastAsia" w:eastAsia="宋体"/>
                      <w:sz w:val="21"/>
                      <w:szCs w:val="21"/>
                    </w:rPr>
                    <w:t>生活垃圾</w:t>
                  </w:r>
                </w:p>
              </w:tc>
              <w:tc>
                <w:tcPr>
                  <w:tcW w:w="449" w:type="pct"/>
                  <w:tcBorders>
                    <w:right w:val="single" w:color="auto" w:sz="4" w:space="0"/>
                  </w:tcBorders>
                  <w:vAlign w:val="center"/>
                </w:tcPr>
                <w:p>
                  <w:pPr>
                    <w:widowControl/>
                    <w:adjustRightInd w:val="0"/>
                    <w:snapToGrid w:val="0"/>
                    <w:spacing w:line="240" w:lineRule="auto"/>
                    <w:jc w:val="center"/>
                    <w:rPr>
                      <w:rFonts w:eastAsia="宋体"/>
                      <w:sz w:val="21"/>
                      <w:szCs w:val="21"/>
                    </w:rPr>
                  </w:pPr>
                  <w:r>
                    <w:rPr>
                      <w:rFonts w:hint="eastAsia" w:eastAsia="宋体"/>
                      <w:sz w:val="21"/>
                      <w:szCs w:val="21"/>
                    </w:rPr>
                    <w:t>固态</w:t>
                  </w:r>
                </w:p>
              </w:tc>
              <w:tc>
                <w:tcPr>
                  <w:tcW w:w="1004" w:type="pct"/>
                  <w:tcBorders>
                    <w:left w:val="single" w:color="auto" w:sz="4" w:space="0"/>
                  </w:tcBorders>
                  <w:vAlign w:val="center"/>
                </w:tcPr>
                <w:p>
                  <w:pPr>
                    <w:widowControl/>
                    <w:adjustRightInd w:val="0"/>
                    <w:snapToGrid w:val="0"/>
                    <w:spacing w:line="240" w:lineRule="auto"/>
                    <w:jc w:val="center"/>
                    <w:rPr>
                      <w:rFonts w:eastAsia="宋体"/>
                      <w:sz w:val="21"/>
                      <w:szCs w:val="21"/>
                    </w:rPr>
                  </w:pPr>
                  <w:r>
                    <w:rPr>
                      <w:rFonts w:hint="eastAsia" w:eastAsia="宋体"/>
                      <w:sz w:val="21"/>
                      <w:szCs w:val="21"/>
                    </w:rPr>
                    <w:t>/</w:t>
                  </w:r>
                </w:p>
              </w:tc>
              <w:tc>
                <w:tcPr>
                  <w:tcW w:w="542" w:type="pct"/>
                  <w:tcBorders>
                    <w:left w:val="single" w:color="auto" w:sz="4" w:space="0"/>
                    <w:right w:val="single" w:color="auto" w:sz="4" w:space="0"/>
                  </w:tcBorders>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rPr>
                    <w:t>1.2</w:t>
                  </w:r>
                  <w:r>
                    <w:rPr>
                      <w:rFonts w:hint="eastAsia" w:eastAsia="宋体"/>
                      <w:sz w:val="21"/>
                      <w:szCs w:val="21"/>
                      <w:lang w:val="en-US" w:eastAsia="zh-CN"/>
                    </w:rPr>
                    <w:t>8</w:t>
                  </w:r>
                </w:p>
              </w:tc>
              <w:tc>
                <w:tcPr>
                  <w:tcW w:w="473" w:type="pct"/>
                  <w:tcBorders>
                    <w:left w:val="single" w:color="auto" w:sz="4" w:space="0"/>
                  </w:tcBorders>
                  <w:vAlign w:val="center"/>
                </w:tcPr>
                <w:p>
                  <w:pPr>
                    <w:widowControl/>
                    <w:adjustRightInd w:val="0"/>
                    <w:snapToGrid w:val="0"/>
                    <w:spacing w:line="240" w:lineRule="auto"/>
                    <w:jc w:val="center"/>
                    <w:rPr>
                      <w:rFonts w:eastAsia="宋体"/>
                      <w:sz w:val="21"/>
                      <w:szCs w:val="21"/>
                    </w:rPr>
                  </w:pPr>
                  <w:r>
                    <w:rPr>
                      <w:rFonts w:hint="eastAsia" w:eastAsia="宋体"/>
                      <w:sz w:val="21"/>
                      <w:szCs w:val="21"/>
                    </w:rPr>
                    <w:t>1.2</w:t>
                  </w:r>
                  <w:r>
                    <w:rPr>
                      <w:rFonts w:hint="eastAsia" w:eastAsia="宋体"/>
                      <w:sz w:val="21"/>
                      <w:szCs w:val="21"/>
                      <w:lang w:val="en-US" w:eastAsia="zh-CN"/>
                    </w:rPr>
                    <w:t>8</w:t>
                  </w:r>
                </w:p>
              </w:tc>
              <w:tc>
                <w:tcPr>
                  <w:tcW w:w="809" w:type="pct"/>
                  <w:vAlign w:val="center"/>
                </w:tcPr>
                <w:p>
                  <w:pPr>
                    <w:widowControl/>
                    <w:adjustRightInd w:val="0"/>
                    <w:snapToGrid w:val="0"/>
                    <w:spacing w:line="240" w:lineRule="auto"/>
                    <w:jc w:val="center"/>
                    <w:rPr>
                      <w:rFonts w:eastAsia="宋体"/>
                      <w:sz w:val="21"/>
                      <w:szCs w:val="21"/>
                    </w:rPr>
                  </w:pPr>
                  <w:r>
                    <w:rPr>
                      <w:rFonts w:hint="eastAsia" w:eastAsia="宋体"/>
                      <w:sz w:val="21"/>
                      <w:szCs w:val="21"/>
                    </w:rPr>
                    <w:t>委托有资质的单位清掏、处理处置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5" w:type="pct"/>
                  <w:vAlign w:val="center"/>
                </w:tcPr>
                <w:p>
                  <w:pPr>
                    <w:widowControl/>
                    <w:adjustRightInd w:val="0"/>
                    <w:snapToGrid w:val="0"/>
                    <w:spacing w:line="240" w:lineRule="auto"/>
                    <w:jc w:val="center"/>
                    <w:rPr>
                      <w:rFonts w:eastAsia="宋体"/>
                      <w:sz w:val="21"/>
                      <w:szCs w:val="21"/>
                    </w:rPr>
                  </w:pPr>
                  <w:r>
                    <w:rPr>
                      <w:rFonts w:hint="eastAsia" w:eastAsia="宋体"/>
                      <w:sz w:val="21"/>
                      <w:szCs w:val="21"/>
                    </w:rPr>
                    <w:t>3</w:t>
                  </w:r>
                </w:p>
              </w:tc>
              <w:tc>
                <w:tcPr>
                  <w:tcW w:w="627" w:type="pct"/>
                  <w:vAlign w:val="center"/>
                </w:tcPr>
                <w:p>
                  <w:pPr>
                    <w:widowControl/>
                    <w:adjustRightInd w:val="0"/>
                    <w:snapToGrid w:val="0"/>
                    <w:spacing w:line="240" w:lineRule="auto"/>
                    <w:jc w:val="center"/>
                    <w:rPr>
                      <w:rFonts w:eastAsia="宋体"/>
                      <w:sz w:val="21"/>
                      <w:szCs w:val="21"/>
                    </w:rPr>
                  </w:pPr>
                  <w:r>
                    <w:rPr>
                      <w:rFonts w:hint="eastAsia" w:eastAsia="宋体"/>
                      <w:sz w:val="21"/>
                      <w:szCs w:val="21"/>
                    </w:rPr>
                    <w:t>生活垃圾</w:t>
                  </w:r>
                </w:p>
              </w:tc>
              <w:tc>
                <w:tcPr>
                  <w:tcW w:w="375" w:type="pct"/>
                  <w:vAlign w:val="center"/>
                </w:tcPr>
                <w:p>
                  <w:pPr>
                    <w:widowControl/>
                    <w:adjustRightInd w:val="0"/>
                    <w:snapToGrid w:val="0"/>
                    <w:spacing w:line="240" w:lineRule="auto"/>
                    <w:jc w:val="center"/>
                    <w:rPr>
                      <w:rFonts w:eastAsia="宋体"/>
                      <w:sz w:val="21"/>
                      <w:szCs w:val="21"/>
                    </w:rPr>
                  </w:pPr>
                  <w:r>
                    <w:rPr>
                      <w:rFonts w:hint="eastAsia" w:eastAsia="宋体"/>
                      <w:sz w:val="21"/>
                      <w:szCs w:val="21"/>
                    </w:rPr>
                    <w:t>员工生活</w:t>
                  </w:r>
                </w:p>
              </w:tc>
              <w:tc>
                <w:tcPr>
                  <w:tcW w:w="403" w:type="pct"/>
                  <w:vAlign w:val="center"/>
                </w:tcPr>
                <w:p>
                  <w:pPr>
                    <w:widowControl/>
                    <w:adjustRightInd w:val="0"/>
                    <w:snapToGrid w:val="0"/>
                    <w:spacing w:line="240" w:lineRule="auto"/>
                    <w:jc w:val="center"/>
                    <w:rPr>
                      <w:rFonts w:eastAsia="宋体"/>
                      <w:sz w:val="21"/>
                      <w:szCs w:val="21"/>
                    </w:rPr>
                  </w:pPr>
                  <w:r>
                    <w:rPr>
                      <w:rFonts w:hint="eastAsia" w:eastAsia="宋体"/>
                      <w:sz w:val="21"/>
                      <w:szCs w:val="21"/>
                    </w:rPr>
                    <w:t>生活垃圾</w:t>
                  </w:r>
                </w:p>
              </w:tc>
              <w:tc>
                <w:tcPr>
                  <w:tcW w:w="449" w:type="pct"/>
                  <w:tcBorders>
                    <w:right w:val="single" w:color="auto" w:sz="4" w:space="0"/>
                  </w:tcBorders>
                  <w:vAlign w:val="center"/>
                </w:tcPr>
                <w:p>
                  <w:pPr>
                    <w:widowControl/>
                    <w:adjustRightInd w:val="0"/>
                    <w:snapToGrid w:val="0"/>
                    <w:spacing w:line="240" w:lineRule="auto"/>
                    <w:jc w:val="center"/>
                    <w:rPr>
                      <w:rFonts w:eastAsia="宋体"/>
                      <w:sz w:val="21"/>
                      <w:szCs w:val="21"/>
                    </w:rPr>
                  </w:pPr>
                  <w:r>
                    <w:rPr>
                      <w:rFonts w:hint="eastAsia" w:eastAsia="宋体"/>
                      <w:sz w:val="21"/>
                      <w:szCs w:val="21"/>
                    </w:rPr>
                    <w:t>固态</w:t>
                  </w:r>
                </w:p>
              </w:tc>
              <w:tc>
                <w:tcPr>
                  <w:tcW w:w="1004" w:type="pct"/>
                  <w:tcBorders>
                    <w:left w:val="single" w:color="auto" w:sz="4" w:space="0"/>
                  </w:tcBorders>
                  <w:vAlign w:val="center"/>
                </w:tcPr>
                <w:p>
                  <w:pPr>
                    <w:widowControl/>
                    <w:adjustRightInd w:val="0"/>
                    <w:snapToGrid w:val="0"/>
                    <w:spacing w:line="240" w:lineRule="auto"/>
                    <w:jc w:val="center"/>
                    <w:rPr>
                      <w:rFonts w:eastAsia="宋体"/>
                      <w:sz w:val="21"/>
                      <w:szCs w:val="21"/>
                    </w:rPr>
                  </w:pPr>
                  <w:r>
                    <w:rPr>
                      <w:rFonts w:hint="eastAsia" w:eastAsia="宋体"/>
                      <w:sz w:val="21"/>
                      <w:szCs w:val="21"/>
                    </w:rPr>
                    <w:t>/</w:t>
                  </w:r>
                </w:p>
              </w:tc>
              <w:tc>
                <w:tcPr>
                  <w:tcW w:w="542" w:type="pct"/>
                  <w:tcBorders>
                    <w:left w:val="single" w:color="auto" w:sz="4" w:space="0"/>
                    <w:right w:val="single" w:color="auto" w:sz="4" w:space="0"/>
                  </w:tcBorders>
                  <w:vAlign w:val="center"/>
                </w:tcPr>
                <w:p>
                  <w:pPr>
                    <w:widowControl/>
                    <w:adjustRightInd w:val="0"/>
                    <w:snapToGrid w:val="0"/>
                    <w:spacing w:line="240" w:lineRule="auto"/>
                    <w:jc w:val="center"/>
                    <w:rPr>
                      <w:rFonts w:hint="default" w:eastAsia="宋体"/>
                      <w:sz w:val="21"/>
                      <w:szCs w:val="21"/>
                      <w:lang w:val="en-US" w:eastAsia="zh-CN"/>
                    </w:rPr>
                  </w:pPr>
                  <w:r>
                    <w:rPr>
                      <w:rFonts w:hint="eastAsia" w:eastAsia="宋体"/>
                      <w:sz w:val="21"/>
                      <w:szCs w:val="21"/>
                      <w:lang w:val="en-US" w:eastAsia="zh-CN"/>
                    </w:rPr>
                    <w:t>269.54</w:t>
                  </w:r>
                </w:p>
              </w:tc>
              <w:tc>
                <w:tcPr>
                  <w:tcW w:w="473" w:type="pct"/>
                  <w:tcBorders>
                    <w:left w:val="single" w:color="auto" w:sz="4" w:space="0"/>
                  </w:tcBorders>
                  <w:vAlign w:val="center"/>
                </w:tcPr>
                <w:p>
                  <w:pPr>
                    <w:widowControl/>
                    <w:adjustRightInd w:val="0"/>
                    <w:snapToGrid w:val="0"/>
                    <w:spacing w:line="240" w:lineRule="auto"/>
                    <w:jc w:val="center"/>
                    <w:rPr>
                      <w:rFonts w:eastAsia="宋体"/>
                      <w:sz w:val="21"/>
                      <w:szCs w:val="21"/>
                    </w:rPr>
                  </w:pPr>
                  <w:r>
                    <w:rPr>
                      <w:rFonts w:hint="eastAsia" w:eastAsia="宋体"/>
                      <w:sz w:val="21"/>
                      <w:szCs w:val="21"/>
                      <w:lang w:val="en-US" w:eastAsia="zh-CN"/>
                    </w:rPr>
                    <w:t>269.54</w:t>
                  </w:r>
                </w:p>
              </w:tc>
              <w:tc>
                <w:tcPr>
                  <w:tcW w:w="809" w:type="pct"/>
                  <w:vAlign w:val="center"/>
                </w:tcPr>
                <w:p>
                  <w:pPr>
                    <w:widowControl/>
                    <w:adjustRightInd w:val="0"/>
                    <w:snapToGrid w:val="0"/>
                    <w:spacing w:line="240" w:lineRule="auto"/>
                    <w:jc w:val="center"/>
                    <w:rPr>
                      <w:rFonts w:eastAsia="宋体"/>
                      <w:sz w:val="21"/>
                      <w:szCs w:val="21"/>
                    </w:rPr>
                  </w:pPr>
                  <w:r>
                    <w:rPr>
                      <w:rFonts w:hint="eastAsia" w:eastAsia="宋体"/>
                      <w:sz w:val="21"/>
                      <w:szCs w:val="21"/>
                    </w:rPr>
                    <w:t>委托环卫部门清运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wAfter w:w="0" w:type="auto"/>
                <w:trHeight w:val="397" w:hRule="atLeast"/>
                <w:jc w:val="center"/>
              </w:trPr>
              <w:tc>
                <w:tcPr>
                  <w:tcW w:w="3174" w:type="pct"/>
                  <w:gridSpan w:val="6"/>
                  <w:vAlign w:val="center"/>
                </w:tcPr>
                <w:p>
                  <w:pPr>
                    <w:widowControl/>
                    <w:adjustRightInd w:val="0"/>
                    <w:snapToGrid w:val="0"/>
                    <w:spacing w:line="240" w:lineRule="auto"/>
                    <w:jc w:val="center"/>
                    <w:rPr>
                      <w:rFonts w:eastAsia="宋体"/>
                      <w:sz w:val="21"/>
                      <w:szCs w:val="21"/>
                    </w:rPr>
                  </w:pPr>
                  <w:r>
                    <w:rPr>
                      <w:rFonts w:eastAsia="宋体"/>
                      <w:sz w:val="21"/>
                      <w:szCs w:val="21"/>
                    </w:rPr>
                    <w:t>小计</w:t>
                  </w:r>
                </w:p>
              </w:tc>
              <w:tc>
                <w:tcPr>
                  <w:tcW w:w="542" w:type="pct"/>
                  <w:tcBorders>
                    <w:right w:val="single" w:color="auto" w:sz="4" w:space="0"/>
                  </w:tcBorders>
                  <w:vAlign w:val="center"/>
                </w:tcPr>
                <w:p>
                  <w:pPr>
                    <w:widowControl/>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378.63</w:t>
                  </w:r>
                </w:p>
              </w:tc>
              <w:tc>
                <w:tcPr>
                  <w:tcW w:w="473" w:type="pct"/>
                  <w:tcBorders>
                    <w:left w:val="single" w:color="auto" w:sz="4" w:space="0"/>
                  </w:tcBorders>
                  <w:vAlign w:val="center"/>
                </w:tcPr>
                <w:p>
                  <w:pPr>
                    <w:widowControl/>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378.63</w:t>
                  </w:r>
                </w:p>
              </w:tc>
              <w:tc>
                <w:tcPr>
                  <w:tcW w:w="809" w:type="pct"/>
                  <w:vAlign w:val="center"/>
                </w:tcPr>
                <w:p>
                  <w:pPr>
                    <w:widowControl/>
                    <w:adjustRightInd w:val="0"/>
                    <w:snapToGrid w:val="0"/>
                    <w:spacing w:line="240" w:lineRule="auto"/>
                    <w:jc w:val="center"/>
                    <w:rPr>
                      <w:rFonts w:eastAsia="宋体"/>
                      <w:sz w:val="21"/>
                      <w:szCs w:val="21"/>
                    </w:rPr>
                  </w:pPr>
                  <w:r>
                    <w:rPr>
                      <w:rFonts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5" w:type="pct"/>
                  <w:vAlign w:val="center"/>
                </w:tcPr>
                <w:p>
                  <w:pPr>
                    <w:adjustRightInd w:val="0"/>
                    <w:snapToGrid w:val="0"/>
                    <w:spacing w:line="240" w:lineRule="auto"/>
                    <w:jc w:val="center"/>
                    <w:rPr>
                      <w:rFonts w:hint="eastAsia" w:eastAsia="宋体"/>
                      <w:sz w:val="21"/>
                      <w:szCs w:val="21"/>
                      <w:lang w:eastAsia="zh-CN"/>
                    </w:rPr>
                  </w:pPr>
                  <w:r>
                    <w:rPr>
                      <w:rFonts w:hint="eastAsia" w:eastAsia="宋体"/>
                      <w:sz w:val="21"/>
                      <w:szCs w:val="21"/>
                      <w:lang w:val="en-US" w:eastAsia="zh-CN"/>
                    </w:rPr>
                    <w:t>4</w:t>
                  </w:r>
                </w:p>
              </w:tc>
              <w:tc>
                <w:tcPr>
                  <w:tcW w:w="627" w:type="pct"/>
                  <w:vAlign w:val="center"/>
                </w:tcPr>
                <w:p>
                  <w:pPr>
                    <w:widowControl/>
                    <w:adjustRightInd w:val="0"/>
                    <w:snapToGrid w:val="0"/>
                    <w:spacing w:line="240" w:lineRule="auto"/>
                    <w:jc w:val="center"/>
                    <w:rPr>
                      <w:rFonts w:eastAsia="宋体"/>
                      <w:sz w:val="21"/>
                      <w:szCs w:val="21"/>
                    </w:rPr>
                  </w:pPr>
                  <w:r>
                    <w:rPr>
                      <w:rFonts w:hint="eastAsia" w:eastAsia="宋体"/>
                      <w:sz w:val="21"/>
                      <w:szCs w:val="21"/>
                    </w:rPr>
                    <w:t>医务室医疗废物</w:t>
                  </w:r>
                </w:p>
              </w:tc>
              <w:tc>
                <w:tcPr>
                  <w:tcW w:w="375" w:type="pct"/>
                  <w:vAlign w:val="center"/>
                </w:tcPr>
                <w:p>
                  <w:pPr>
                    <w:widowControl/>
                    <w:adjustRightInd w:val="0"/>
                    <w:snapToGrid w:val="0"/>
                    <w:spacing w:line="240" w:lineRule="auto"/>
                    <w:jc w:val="center"/>
                    <w:rPr>
                      <w:rFonts w:eastAsia="宋体"/>
                      <w:sz w:val="21"/>
                      <w:szCs w:val="21"/>
                    </w:rPr>
                  </w:pPr>
                  <w:r>
                    <w:rPr>
                      <w:rFonts w:hint="eastAsia" w:eastAsia="宋体"/>
                      <w:sz w:val="21"/>
                      <w:szCs w:val="21"/>
                    </w:rPr>
                    <w:t>医疗</w:t>
                  </w:r>
                </w:p>
              </w:tc>
              <w:tc>
                <w:tcPr>
                  <w:tcW w:w="403" w:type="pct"/>
                  <w:vAlign w:val="center"/>
                </w:tcPr>
                <w:p>
                  <w:pPr>
                    <w:widowControl/>
                    <w:adjustRightInd w:val="0"/>
                    <w:snapToGrid w:val="0"/>
                    <w:spacing w:line="240" w:lineRule="auto"/>
                    <w:jc w:val="center"/>
                    <w:rPr>
                      <w:rFonts w:eastAsia="宋体"/>
                      <w:sz w:val="21"/>
                      <w:szCs w:val="21"/>
                    </w:rPr>
                  </w:pPr>
                  <w:r>
                    <w:rPr>
                      <w:rFonts w:eastAsia="宋体"/>
                      <w:sz w:val="21"/>
                      <w:szCs w:val="21"/>
                    </w:rPr>
                    <w:t>危险废物</w:t>
                  </w:r>
                </w:p>
              </w:tc>
              <w:tc>
                <w:tcPr>
                  <w:tcW w:w="449" w:type="pct"/>
                  <w:tcBorders>
                    <w:right w:val="single" w:color="auto" w:sz="4" w:space="0"/>
                  </w:tcBorders>
                  <w:vAlign w:val="center"/>
                </w:tcPr>
                <w:p>
                  <w:pPr>
                    <w:widowControl/>
                    <w:adjustRightInd w:val="0"/>
                    <w:snapToGrid w:val="0"/>
                    <w:spacing w:line="240" w:lineRule="auto"/>
                    <w:jc w:val="center"/>
                    <w:rPr>
                      <w:rFonts w:eastAsia="宋体"/>
                      <w:sz w:val="21"/>
                      <w:szCs w:val="21"/>
                    </w:rPr>
                  </w:pPr>
                  <w:r>
                    <w:rPr>
                      <w:rFonts w:eastAsia="宋体"/>
                      <w:sz w:val="21"/>
                      <w:szCs w:val="21"/>
                    </w:rPr>
                    <w:t>固态</w:t>
                  </w:r>
                </w:p>
              </w:tc>
              <w:tc>
                <w:tcPr>
                  <w:tcW w:w="1004" w:type="pct"/>
                  <w:vAlign w:val="center"/>
                </w:tcPr>
                <w:p>
                  <w:pPr>
                    <w:widowControl/>
                    <w:adjustRightInd w:val="0"/>
                    <w:snapToGrid w:val="0"/>
                    <w:spacing w:line="240" w:lineRule="auto"/>
                    <w:jc w:val="center"/>
                    <w:rPr>
                      <w:rFonts w:eastAsia="宋体"/>
                      <w:sz w:val="21"/>
                      <w:szCs w:val="21"/>
                    </w:rPr>
                  </w:pPr>
                  <w:r>
                    <w:rPr>
                      <w:rFonts w:hint="eastAsia" w:eastAsia="宋体"/>
                      <w:sz w:val="21"/>
                      <w:szCs w:val="21"/>
                    </w:rPr>
                    <w:t>废包装材料、废医用纱布</w:t>
                  </w:r>
                </w:p>
              </w:tc>
              <w:tc>
                <w:tcPr>
                  <w:tcW w:w="542" w:type="pct"/>
                  <w:tcBorders>
                    <w:right w:val="single" w:color="auto" w:sz="4" w:space="0"/>
                  </w:tcBorders>
                  <w:vAlign w:val="center"/>
                </w:tcPr>
                <w:p>
                  <w:pPr>
                    <w:widowControl/>
                    <w:adjustRightInd w:val="0"/>
                    <w:snapToGrid w:val="0"/>
                    <w:spacing w:line="240" w:lineRule="auto"/>
                    <w:jc w:val="center"/>
                    <w:rPr>
                      <w:rFonts w:eastAsia="宋体"/>
                      <w:sz w:val="21"/>
                      <w:szCs w:val="21"/>
                    </w:rPr>
                  </w:pPr>
                  <w:r>
                    <w:rPr>
                      <w:rFonts w:hint="eastAsia" w:eastAsia="宋体"/>
                      <w:sz w:val="21"/>
                      <w:szCs w:val="21"/>
                    </w:rPr>
                    <w:t>1</w:t>
                  </w:r>
                  <w:r>
                    <w:rPr>
                      <w:rFonts w:eastAsia="宋体"/>
                      <w:sz w:val="21"/>
                      <w:szCs w:val="21"/>
                    </w:rPr>
                    <w:t>.0</w:t>
                  </w:r>
                </w:p>
              </w:tc>
              <w:tc>
                <w:tcPr>
                  <w:tcW w:w="473" w:type="pct"/>
                  <w:tcBorders>
                    <w:left w:val="single" w:color="auto" w:sz="4" w:space="0"/>
                  </w:tcBorders>
                  <w:vAlign w:val="center"/>
                </w:tcPr>
                <w:p>
                  <w:pPr>
                    <w:widowControl/>
                    <w:adjustRightInd w:val="0"/>
                    <w:snapToGrid w:val="0"/>
                    <w:spacing w:line="240" w:lineRule="auto"/>
                    <w:jc w:val="center"/>
                    <w:rPr>
                      <w:rFonts w:eastAsia="宋体"/>
                      <w:sz w:val="21"/>
                      <w:szCs w:val="21"/>
                    </w:rPr>
                  </w:pPr>
                  <w:r>
                    <w:rPr>
                      <w:rFonts w:hint="eastAsia" w:eastAsia="宋体"/>
                      <w:sz w:val="21"/>
                      <w:szCs w:val="21"/>
                    </w:rPr>
                    <w:t>1</w:t>
                  </w:r>
                  <w:r>
                    <w:rPr>
                      <w:rFonts w:eastAsia="宋体"/>
                      <w:sz w:val="21"/>
                      <w:szCs w:val="21"/>
                    </w:rPr>
                    <w:t>.0</w:t>
                  </w:r>
                </w:p>
              </w:tc>
              <w:tc>
                <w:tcPr>
                  <w:tcW w:w="809" w:type="pct"/>
                  <w:vMerge w:val="restart"/>
                  <w:vAlign w:val="center"/>
                </w:tcPr>
                <w:p>
                  <w:pPr>
                    <w:adjustRightInd w:val="0"/>
                    <w:snapToGrid w:val="0"/>
                    <w:spacing w:line="240" w:lineRule="auto"/>
                    <w:jc w:val="center"/>
                    <w:rPr>
                      <w:rFonts w:eastAsia="宋体"/>
                      <w:sz w:val="21"/>
                      <w:szCs w:val="21"/>
                    </w:rPr>
                  </w:pPr>
                  <w:r>
                    <w:rPr>
                      <w:rFonts w:eastAsia="宋体"/>
                      <w:sz w:val="21"/>
                      <w:szCs w:val="21"/>
                    </w:rPr>
                    <w:t>委托有资质单位安全处置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15" w:type="pct"/>
                  <w:vAlign w:val="center"/>
                </w:tcPr>
                <w:p>
                  <w:pPr>
                    <w:adjustRightInd w:val="0"/>
                    <w:snapToGrid w:val="0"/>
                    <w:spacing w:line="240" w:lineRule="auto"/>
                    <w:jc w:val="center"/>
                    <w:rPr>
                      <w:rFonts w:hint="eastAsia" w:eastAsia="宋体"/>
                      <w:sz w:val="21"/>
                      <w:szCs w:val="21"/>
                      <w:lang w:eastAsia="zh-CN"/>
                    </w:rPr>
                  </w:pPr>
                  <w:r>
                    <w:rPr>
                      <w:rFonts w:hint="eastAsia" w:eastAsia="宋体"/>
                      <w:sz w:val="21"/>
                      <w:szCs w:val="21"/>
                      <w:lang w:val="en-US" w:eastAsia="zh-CN"/>
                    </w:rPr>
                    <w:t>5</w:t>
                  </w:r>
                </w:p>
              </w:tc>
              <w:tc>
                <w:tcPr>
                  <w:tcW w:w="627" w:type="pct"/>
                  <w:vAlign w:val="center"/>
                </w:tcPr>
                <w:p>
                  <w:pPr>
                    <w:widowControl/>
                    <w:adjustRightInd w:val="0"/>
                    <w:snapToGrid w:val="0"/>
                    <w:spacing w:line="240" w:lineRule="auto"/>
                    <w:jc w:val="center"/>
                    <w:rPr>
                      <w:rFonts w:eastAsia="宋体"/>
                      <w:sz w:val="21"/>
                      <w:szCs w:val="21"/>
                    </w:rPr>
                  </w:pPr>
                  <w:r>
                    <w:rPr>
                      <w:rFonts w:hint="eastAsia" w:eastAsia="宋体"/>
                      <w:sz w:val="21"/>
                      <w:szCs w:val="21"/>
                    </w:rPr>
                    <w:t>实验室废物</w:t>
                  </w:r>
                </w:p>
              </w:tc>
              <w:tc>
                <w:tcPr>
                  <w:tcW w:w="375" w:type="pct"/>
                  <w:vAlign w:val="center"/>
                </w:tcPr>
                <w:p>
                  <w:pPr>
                    <w:widowControl/>
                    <w:adjustRightInd w:val="0"/>
                    <w:snapToGrid w:val="0"/>
                    <w:spacing w:line="240" w:lineRule="auto"/>
                    <w:jc w:val="center"/>
                    <w:rPr>
                      <w:rFonts w:eastAsia="宋体"/>
                      <w:sz w:val="21"/>
                      <w:szCs w:val="21"/>
                    </w:rPr>
                  </w:pPr>
                  <w:r>
                    <w:rPr>
                      <w:rFonts w:hint="eastAsia" w:eastAsia="宋体"/>
                      <w:sz w:val="21"/>
                      <w:szCs w:val="21"/>
                    </w:rPr>
                    <w:t>实验教学</w:t>
                  </w:r>
                </w:p>
              </w:tc>
              <w:tc>
                <w:tcPr>
                  <w:tcW w:w="403" w:type="pct"/>
                  <w:vAlign w:val="center"/>
                </w:tcPr>
                <w:p>
                  <w:pPr>
                    <w:widowControl/>
                    <w:adjustRightInd w:val="0"/>
                    <w:snapToGrid w:val="0"/>
                    <w:spacing w:line="240" w:lineRule="auto"/>
                    <w:jc w:val="center"/>
                    <w:rPr>
                      <w:rFonts w:eastAsia="宋体"/>
                      <w:sz w:val="21"/>
                      <w:szCs w:val="21"/>
                    </w:rPr>
                  </w:pPr>
                  <w:r>
                    <w:rPr>
                      <w:rFonts w:eastAsia="宋体"/>
                      <w:sz w:val="21"/>
                      <w:szCs w:val="21"/>
                    </w:rPr>
                    <w:t>危险废物</w:t>
                  </w:r>
                </w:p>
              </w:tc>
              <w:tc>
                <w:tcPr>
                  <w:tcW w:w="449" w:type="pct"/>
                  <w:tcBorders>
                    <w:right w:val="single" w:color="auto" w:sz="4" w:space="0"/>
                  </w:tcBorders>
                  <w:vAlign w:val="center"/>
                </w:tcPr>
                <w:p>
                  <w:pPr>
                    <w:widowControl/>
                    <w:adjustRightInd w:val="0"/>
                    <w:snapToGrid w:val="0"/>
                    <w:spacing w:line="240" w:lineRule="auto"/>
                    <w:jc w:val="center"/>
                    <w:rPr>
                      <w:rFonts w:eastAsia="宋体"/>
                      <w:sz w:val="21"/>
                      <w:szCs w:val="21"/>
                    </w:rPr>
                  </w:pPr>
                  <w:r>
                    <w:rPr>
                      <w:rFonts w:eastAsia="宋体"/>
                      <w:sz w:val="21"/>
                      <w:szCs w:val="21"/>
                    </w:rPr>
                    <w:t>固</w:t>
                  </w:r>
                  <w:r>
                    <w:rPr>
                      <w:rFonts w:hint="eastAsia" w:eastAsia="宋体"/>
                      <w:sz w:val="21"/>
                      <w:szCs w:val="21"/>
                    </w:rPr>
                    <w:t>、液</w:t>
                  </w:r>
                  <w:r>
                    <w:rPr>
                      <w:rFonts w:eastAsia="宋体"/>
                      <w:sz w:val="21"/>
                      <w:szCs w:val="21"/>
                    </w:rPr>
                    <w:t>态</w:t>
                  </w:r>
                </w:p>
              </w:tc>
              <w:tc>
                <w:tcPr>
                  <w:tcW w:w="1004" w:type="pct"/>
                  <w:vAlign w:val="center"/>
                </w:tcPr>
                <w:p>
                  <w:pPr>
                    <w:widowControl/>
                    <w:adjustRightInd w:val="0"/>
                    <w:snapToGrid w:val="0"/>
                    <w:spacing w:line="240" w:lineRule="auto"/>
                    <w:jc w:val="center"/>
                    <w:rPr>
                      <w:rFonts w:eastAsia="宋体"/>
                      <w:sz w:val="21"/>
                      <w:szCs w:val="21"/>
                    </w:rPr>
                  </w:pPr>
                  <w:r>
                    <w:rPr>
                      <w:rFonts w:hint="eastAsia" w:eastAsia="宋体"/>
                      <w:sz w:val="21"/>
                      <w:szCs w:val="21"/>
                    </w:rPr>
                    <w:t>实验室废液、废试剂瓶</w:t>
                  </w:r>
                  <w:r>
                    <w:rPr>
                      <w:rFonts w:hint="eastAsia" w:eastAsia="宋体"/>
                      <w:sz w:val="21"/>
                      <w:szCs w:val="21"/>
                      <w:lang w:eastAsia="zh-CN"/>
                    </w:rPr>
                    <w:t>、</w:t>
                  </w:r>
                  <w:r>
                    <w:rPr>
                      <w:rFonts w:hint="eastAsia" w:eastAsia="宋体"/>
                      <w:sz w:val="21"/>
                      <w:szCs w:val="21"/>
                    </w:rPr>
                    <w:t>实验室器皿一次清洗废水等</w:t>
                  </w:r>
                </w:p>
              </w:tc>
              <w:tc>
                <w:tcPr>
                  <w:tcW w:w="542" w:type="pct"/>
                  <w:tcBorders>
                    <w:right w:val="single" w:color="auto" w:sz="4" w:space="0"/>
                  </w:tcBorders>
                  <w:vAlign w:val="center"/>
                </w:tcPr>
                <w:p>
                  <w:pPr>
                    <w:widowControl/>
                    <w:adjustRightInd w:val="0"/>
                    <w:snapToGrid w:val="0"/>
                    <w:spacing w:line="240" w:lineRule="auto"/>
                    <w:jc w:val="center"/>
                    <w:rPr>
                      <w:rFonts w:eastAsia="宋体"/>
                      <w:sz w:val="21"/>
                      <w:szCs w:val="21"/>
                    </w:rPr>
                  </w:pPr>
                  <w:r>
                    <w:rPr>
                      <w:rFonts w:hint="eastAsia" w:eastAsia="宋体"/>
                      <w:sz w:val="21"/>
                      <w:szCs w:val="21"/>
                    </w:rPr>
                    <w:t>3.0</w:t>
                  </w:r>
                </w:p>
              </w:tc>
              <w:tc>
                <w:tcPr>
                  <w:tcW w:w="473" w:type="pct"/>
                  <w:tcBorders>
                    <w:left w:val="single" w:color="auto" w:sz="4" w:space="0"/>
                  </w:tcBorders>
                  <w:vAlign w:val="center"/>
                </w:tcPr>
                <w:p>
                  <w:pPr>
                    <w:widowControl/>
                    <w:adjustRightInd w:val="0"/>
                    <w:snapToGrid w:val="0"/>
                    <w:spacing w:line="240" w:lineRule="auto"/>
                    <w:jc w:val="center"/>
                    <w:rPr>
                      <w:rFonts w:eastAsia="宋体"/>
                      <w:sz w:val="21"/>
                      <w:szCs w:val="21"/>
                    </w:rPr>
                  </w:pPr>
                  <w:r>
                    <w:rPr>
                      <w:rFonts w:hint="eastAsia" w:eastAsia="宋体"/>
                      <w:sz w:val="21"/>
                      <w:szCs w:val="21"/>
                    </w:rPr>
                    <w:t>3.0</w:t>
                  </w:r>
                </w:p>
              </w:tc>
              <w:tc>
                <w:tcPr>
                  <w:tcW w:w="809" w:type="pct"/>
                  <w:vMerge w:val="continue"/>
                  <w:vAlign w:val="center"/>
                </w:tcPr>
                <w:p>
                  <w:pPr>
                    <w:adjustRightInd w:val="0"/>
                    <w:snapToGrid w:val="0"/>
                    <w:spacing w:line="240" w:lineRule="auto"/>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wAfter w:w="0" w:type="auto"/>
                <w:trHeight w:val="397" w:hRule="atLeast"/>
                <w:jc w:val="center"/>
              </w:trPr>
              <w:tc>
                <w:tcPr>
                  <w:tcW w:w="3174" w:type="pct"/>
                  <w:gridSpan w:val="6"/>
                  <w:vAlign w:val="center"/>
                </w:tcPr>
                <w:p>
                  <w:pPr>
                    <w:widowControl/>
                    <w:adjustRightInd w:val="0"/>
                    <w:snapToGrid w:val="0"/>
                    <w:spacing w:line="240" w:lineRule="auto"/>
                    <w:jc w:val="center"/>
                    <w:rPr>
                      <w:rFonts w:eastAsia="宋体"/>
                      <w:sz w:val="21"/>
                      <w:szCs w:val="21"/>
                    </w:rPr>
                  </w:pPr>
                  <w:r>
                    <w:rPr>
                      <w:rFonts w:eastAsia="宋体"/>
                      <w:sz w:val="21"/>
                      <w:szCs w:val="21"/>
                    </w:rPr>
                    <w:t>小计</w:t>
                  </w:r>
                </w:p>
              </w:tc>
              <w:tc>
                <w:tcPr>
                  <w:tcW w:w="542" w:type="pct"/>
                  <w:tcBorders>
                    <w:right w:val="single" w:color="auto" w:sz="4" w:space="0"/>
                  </w:tcBorders>
                  <w:vAlign w:val="center"/>
                </w:tcPr>
                <w:p>
                  <w:pPr>
                    <w:widowControl/>
                    <w:adjustRightInd w:val="0"/>
                    <w:snapToGrid w:val="0"/>
                    <w:spacing w:line="240" w:lineRule="auto"/>
                    <w:jc w:val="center"/>
                    <w:rPr>
                      <w:rFonts w:hint="eastAsia" w:eastAsia="宋体"/>
                      <w:sz w:val="21"/>
                      <w:szCs w:val="21"/>
                      <w:lang w:val="en-US" w:eastAsia="zh-CN"/>
                    </w:rPr>
                  </w:pPr>
                  <w:r>
                    <w:rPr>
                      <w:rFonts w:hint="eastAsia" w:eastAsia="宋体"/>
                      <w:sz w:val="21"/>
                      <w:szCs w:val="21"/>
                      <w:lang w:val="en-US" w:eastAsia="zh-CN"/>
                    </w:rPr>
                    <w:t>4</w:t>
                  </w:r>
                </w:p>
              </w:tc>
              <w:tc>
                <w:tcPr>
                  <w:tcW w:w="473" w:type="pct"/>
                  <w:tcBorders>
                    <w:left w:val="single" w:color="auto" w:sz="4" w:space="0"/>
                  </w:tcBorders>
                  <w:vAlign w:val="center"/>
                </w:tcPr>
                <w:p>
                  <w:pPr>
                    <w:widowControl/>
                    <w:adjustRightInd w:val="0"/>
                    <w:snapToGrid w:val="0"/>
                    <w:spacing w:line="240" w:lineRule="auto"/>
                    <w:jc w:val="center"/>
                    <w:rPr>
                      <w:rFonts w:hint="eastAsia" w:eastAsia="宋体"/>
                      <w:sz w:val="21"/>
                      <w:szCs w:val="21"/>
                      <w:lang w:val="en-US" w:eastAsia="zh-CN"/>
                    </w:rPr>
                  </w:pPr>
                  <w:r>
                    <w:rPr>
                      <w:rFonts w:hint="eastAsia" w:eastAsia="宋体"/>
                      <w:sz w:val="21"/>
                      <w:szCs w:val="21"/>
                      <w:lang w:val="en-US" w:eastAsia="zh-CN"/>
                    </w:rPr>
                    <w:t>4</w:t>
                  </w:r>
                </w:p>
              </w:tc>
              <w:tc>
                <w:tcPr>
                  <w:tcW w:w="809" w:type="pct"/>
                  <w:vAlign w:val="center"/>
                </w:tcPr>
                <w:p>
                  <w:pPr>
                    <w:widowControl/>
                    <w:adjustRightInd w:val="0"/>
                    <w:snapToGrid w:val="0"/>
                    <w:spacing w:line="240" w:lineRule="auto"/>
                    <w:jc w:val="center"/>
                    <w:rPr>
                      <w:rFonts w:eastAsia="宋体"/>
                      <w:sz w:val="21"/>
                      <w:szCs w:val="21"/>
                    </w:rPr>
                  </w:pPr>
                  <w:r>
                    <w:rPr>
                      <w:rFonts w:eastAsia="宋体"/>
                      <w:sz w:val="21"/>
                      <w:szCs w:val="21"/>
                    </w:rPr>
                    <w:t>/</w:t>
                  </w:r>
                </w:p>
              </w:tc>
            </w:tr>
          </w:tbl>
          <w:p>
            <w:pPr>
              <w:adjustRightInd w:val="0"/>
              <w:spacing w:before="156" w:beforeLines="50"/>
              <w:ind w:firstLine="480" w:firstLineChars="200"/>
              <w:jc w:val="left"/>
              <w:rPr>
                <w:rFonts w:eastAsia="宋体"/>
              </w:rPr>
            </w:pPr>
            <w:r>
              <w:rPr>
                <w:rFonts w:eastAsia="宋体"/>
              </w:rPr>
              <w:t>（4）环境管理要求</w:t>
            </w:r>
          </w:p>
          <w:p>
            <w:pPr>
              <w:ind w:firstLine="480" w:firstLineChars="200"/>
              <w:rPr>
                <w:rFonts w:eastAsia="宋体"/>
                <w:snapToGrid w:val="0"/>
              </w:rPr>
            </w:pPr>
            <w:r>
              <w:rPr>
                <w:rFonts w:eastAsia="宋体"/>
                <w:snapToGrid w:val="0"/>
              </w:rPr>
              <w:t>1）固体废物贮存场所（设施）</w:t>
            </w:r>
          </w:p>
          <w:p>
            <w:pPr>
              <w:pStyle w:val="16"/>
              <w:ind w:firstLine="480" w:firstLineChars="200"/>
              <w:rPr>
                <w:rFonts w:ascii="Times New Roman" w:hAnsi="Times New Roman" w:eastAsia="宋体" w:cs="Times New Roman"/>
              </w:rPr>
            </w:pPr>
            <w:r>
              <w:rPr>
                <w:rFonts w:ascii="Times New Roman" w:hAnsi="Times New Roman" w:eastAsia="宋体" w:cs="Times New Roman"/>
                <w:snapToGrid w:val="0"/>
              </w:rPr>
              <w:t>本项目固体废物贮存和处置情况见表4-</w:t>
            </w:r>
            <w:r>
              <w:rPr>
                <w:rFonts w:hint="eastAsia" w:ascii="Times New Roman" w:hAnsi="Times New Roman" w:eastAsia="宋体" w:cs="Times New Roman"/>
                <w:snapToGrid w:val="0"/>
              </w:rPr>
              <w:t>1</w:t>
            </w:r>
            <w:r>
              <w:rPr>
                <w:rFonts w:ascii="Times New Roman" w:hAnsi="Times New Roman" w:eastAsia="宋体" w:cs="Times New Roman"/>
                <w:snapToGrid w:val="0"/>
              </w:rPr>
              <w:t>5。</w:t>
            </w:r>
          </w:p>
          <w:p>
            <w:pPr>
              <w:pStyle w:val="5"/>
              <w:spacing w:before="156" w:beforeLines="50"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表4</w:t>
            </w:r>
            <w:r>
              <w:rPr>
                <w:rFonts w:ascii="Times New Roman" w:hAnsi="Times New Roman" w:eastAsia="宋体" w:cs="Times New Roman"/>
                <w:sz w:val="21"/>
                <w:szCs w:val="21"/>
              </w:rPr>
              <w:t>-</w:t>
            </w:r>
            <w:r>
              <w:rPr>
                <w:rFonts w:hint="eastAsia" w:ascii="Times New Roman" w:hAnsi="Times New Roman" w:eastAsia="宋体" w:cs="Times New Roman"/>
                <w:sz w:val="21"/>
                <w:szCs w:val="21"/>
              </w:rPr>
              <w:t>16</w:t>
            </w:r>
            <w:r>
              <w:rPr>
                <w:rFonts w:ascii="Times New Roman" w:hAnsi="Times New Roman" w:eastAsia="宋体" w:cs="Times New Roman"/>
                <w:sz w:val="21"/>
                <w:szCs w:val="21"/>
              </w:rPr>
              <w:t>固废贮存场所（设施）基本情况表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29"/>
              <w:gridCol w:w="499"/>
              <w:gridCol w:w="1167"/>
              <w:gridCol w:w="1239"/>
              <w:gridCol w:w="770"/>
              <w:gridCol w:w="666"/>
              <w:gridCol w:w="806"/>
              <w:gridCol w:w="747"/>
              <w:gridCol w:w="865"/>
              <w:gridCol w:w="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8" w:hRule="atLeast"/>
                <w:jc w:val="center"/>
              </w:trPr>
              <w:tc>
                <w:tcPr>
                  <w:tcW w:w="215" w:type="pct"/>
                  <w:tcBorders>
                    <w:right w:val="single" w:color="auto" w:sz="6" w:space="0"/>
                  </w:tcBorders>
                  <w:tcMar>
                    <w:left w:w="57" w:type="dxa"/>
                    <w:right w:w="57" w:type="dxa"/>
                  </w:tcMar>
                  <w:vAlign w:val="center"/>
                </w:tcPr>
                <w:p>
                  <w:pPr>
                    <w:adjustRightInd w:val="0"/>
                    <w:snapToGrid w:val="0"/>
                    <w:spacing w:line="320" w:lineRule="exact"/>
                    <w:jc w:val="center"/>
                    <w:rPr>
                      <w:rFonts w:eastAsia="宋体"/>
                      <w:b/>
                      <w:bCs/>
                      <w:sz w:val="21"/>
                      <w:szCs w:val="21"/>
                    </w:rPr>
                  </w:pPr>
                  <w:r>
                    <w:rPr>
                      <w:rFonts w:eastAsia="宋体"/>
                      <w:b/>
                      <w:bCs/>
                      <w:sz w:val="21"/>
                      <w:szCs w:val="21"/>
                    </w:rPr>
                    <w:t>序号</w:t>
                  </w:r>
                </w:p>
              </w:tc>
              <w:tc>
                <w:tcPr>
                  <w:tcW w:w="326" w:type="pct"/>
                  <w:tcBorders>
                    <w:left w:val="single" w:color="auto" w:sz="6" w:space="0"/>
                  </w:tcBorders>
                  <w:tcMar>
                    <w:left w:w="57" w:type="dxa"/>
                    <w:right w:w="57" w:type="dxa"/>
                  </w:tcMar>
                  <w:vAlign w:val="center"/>
                </w:tcPr>
                <w:p>
                  <w:pPr>
                    <w:adjustRightInd w:val="0"/>
                    <w:snapToGrid w:val="0"/>
                    <w:spacing w:line="320" w:lineRule="exact"/>
                    <w:jc w:val="center"/>
                    <w:rPr>
                      <w:rFonts w:eastAsia="宋体"/>
                      <w:b/>
                      <w:bCs/>
                      <w:sz w:val="21"/>
                      <w:szCs w:val="21"/>
                    </w:rPr>
                  </w:pPr>
                  <w:r>
                    <w:rPr>
                      <w:rFonts w:eastAsia="宋体"/>
                      <w:b/>
                      <w:bCs/>
                      <w:sz w:val="21"/>
                      <w:szCs w:val="21"/>
                    </w:rPr>
                    <w:t>类别</w:t>
                  </w:r>
                </w:p>
              </w:tc>
              <w:tc>
                <w:tcPr>
                  <w:tcW w:w="762" w:type="pct"/>
                  <w:tcBorders>
                    <w:right w:val="single" w:color="auto" w:sz="6" w:space="0"/>
                  </w:tcBorders>
                  <w:tcMar>
                    <w:left w:w="57" w:type="dxa"/>
                    <w:right w:w="57" w:type="dxa"/>
                  </w:tcMar>
                  <w:vAlign w:val="center"/>
                </w:tcPr>
                <w:p>
                  <w:pPr>
                    <w:widowControl/>
                    <w:adjustRightInd w:val="0"/>
                    <w:snapToGrid w:val="0"/>
                    <w:spacing w:line="320" w:lineRule="exact"/>
                    <w:jc w:val="center"/>
                    <w:rPr>
                      <w:rFonts w:eastAsia="宋体"/>
                      <w:b/>
                      <w:bCs/>
                      <w:sz w:val="21"/>
                      <w:szCs w:val="21"/>
                    </w:rPr>
                  </w:pPr>
                  <w:r>
                    <w:rPr>
                      <w:rFonts w:eastAsia="宋体"/>
                      <w:b/>
                      <w:bCs/>
                      <w:sz w:val="21"/>
                      <w:szCs w:val="21"/>
                    </w:rPr>
                    <w:t>固体废物</w:t>
                  </w:r>
                </w:p>
                <w:p>
                  <w:pPr>
                    <w:widowControl/>
                    <w:adjustRightInd w:val="0"/>
                    <w:snapToGrid w:val="0"/>
                    <w:spacing w:line="320" w:lineRule="exact"/>
                    <w:jc w:val="center"/>
                    <w:rPr>
                      <w:rFonts w:eastAsia="宋体"/>
                      <w:b/>
                      <w:bCs/>
                      <w:sz w:val="21"/>
                      <w:szCs w:val="21"/>
                    </w:rPr>
                  </w:pPr>
                  <w:r>
                    <w:rPr>
                      <w:rFonts w:eastAsia="宋体"/>
                      <w:b/>
                      <w:bCs/>
                      <w:sz w:val="21"/>
                      <w:szCs w:val="21"/>
                    </w:rPr>
                    <w:t>名称</w:t>
                  </w:r>
                </w:p>
              </w:tc>
              <w:tc>
                <w:tcPr>
                  <w:tcW w:w="809" w:type="pct"/>
                  <w:tcMar>
                    <w:left w:w="57" w:type="dxa"/>
                    <w:right w:w="57" w:type="dxa"/>
                  </w:tcMar>
                  <w:vAlign w:val="center"/>
                </w:tcPr>
                <w:p>
                  <w:pPr>
                    <w:widowControl/>
                    <w:adjustRightInd w:val="0"/>
                    <w:snapToGrid w:val="0"/>
                    <w:spacing w:line="320" w:lineRule="exact"/>
                    <w:jc w:val="center"/>
                    <w:rPr>
                      <w:rFonts w:eastAsia="宋体"/>
                      <w:b/>
                      <w:bCs/>
                      <w:sz w:val="21"/>
                      <w:szCs w:val="21"/>
                    </w:rPr>
                  </w:pPr>
                  <w:r>
                    <w:rPr>
                      <w:rFonts w:eastAsia="宋体"/>
                      <w:b/>
                      <w:bCs/>
                      <w:sz w:val="21"/>
                      <w:szCs w:val="21"/>
                    </w:rPr>
                    <w:t>废物代码</w:t>
                  </w:r>
                </w:p>
              </w:tc>
              <w:tc>
                <w:tcPr>
                  <w:tcW w:w="503" w:type="pct"/>
                  <w:tcMar>
                    <w:left w:w="57" w:type="dxa"/>
                    <w:right w:w="57" w:type="dxa"/>
                  </w:tcMar>
                  <w:vAlign w:val="center"/>
                </w:tcPr>
                <w:p>
                  <w:pPr>
                    <w:widowControl/>
                    <w:adjustRightInd w:val="0"/>
                    <w:snapToGrid w:val="0"/>
                    <w:spacing w:line="320" w:lineRule="exact"/>
                    <w:jc w:val="center"/>
                    <w:rPr>
                      <w:rFonts w:eastAsia="宋体"/>
                      <w:b/>
                      <w:bCs/>
                      <w:sz w:val="21"/>
                      <w:szCs w:val="21"/>
                    </w:rPr>
                  </w:pPr>
                  <w:r>
                    <w:rPr>
                      <w:rFonts w:eastAsia="宋体"/>
                      <w:b/>
                      <w:bCs/>
                      <w:sz w:val="21"/>
                      <w:szCs w:val="21"/>
                    </w:rPr>
                    <w:t>环境危险特性</w:t>
                  </w:r>
                </w:p>
              </w:tc>
              <w:tc>
                <w:tcPr>
                  <w:tcW w:w="435" w:type="pct"/>
                  <w:tcMar>
                    <w:left w:w="57" w:type="dxa"/>
                    <w:right w:w="57" w:type="dxa"/>
                  </w:tcMar>
                  <w:vAlign w:val="center"/>
                </w:tcPr>
                <w:p>
                  <w:pPr>
                    <w:adjustRightInd w:val="0"/>
                    <w:snapToGrid w:val="0"/>
                    <w:spacing w:line="320" w:lineRule="exact"/>
                    <w:jc w:val="center"/>
                    <w:rPr>
                      <w:rFonts w:eastAsia="宋体"/>
                      <w:b/>
                      <w:bCs/>
                      <w:sz w:val="21"/>
                      <w:szCs w:val="21"/>
                    </w:rPr>
                  </w:pPr>
                  <w:r>
                    <w:rPr>
                      <w:rFonts w:eastAsia="宋体"/>
                      <w:b/>
                      <w:bCs/>
                      <w:sz w:val="21"/>
                      <w:szCs w:val="21"/>
                    </w:rPr>
                    <w:t>贮存方式</w:t>
                  </w:r>
                </w:p>
              </w:tc>
              <w:tc>
                <w:tcPr>
                  <w:tcW w:w="526" w:type="pct"/>
                  <w:tcMar>
                    <w:left w:w="57" w:type="dxa"/>
                    <w:right w:w="57" w:type="dxa"/>
                  </w:tcMar>
                  <w:vAlign w:val="center"/>
                </w:tcPr>
                <w:p>
                  <w:pPr>
                    <w:adjustRightInd w:val="0"/>
                    <w:snapToGrid w:val="0"/>
                    <w:spacing w:line="320" w:lineRule="exact"/>
                    <w:jc w:val="center"/>
                    <w:rPr>
                      <w:rFonts w:eastAsia="宋体"/>
                      <w:b/>
                      <w:bCs/>
                      <w:sz w:val="21"/>
                      <w:szCs w:val="21"/>
                    </w:rPr>
                  </w:pPr>
                  <w:r>
                    <w:rPr>
                      <w:rFonts w:eastAsia="宋体"/>
                      <w:b/>
                      <w:bCs/>
                      <w:sz w:val="21"/>
                      <w:szCs w:val="21"/>
                    </w:rPr>
                    <w:t>贮存</w:t>
                  </w:r>
                </w:p>
                <w:p>
                  <w:pPr>
                    <w:adjustRightInd w:val="0"/>
                    <w:snapToGrid w:val="0"/>
                    <w:spacing w:line="320" w:lineRule="exact"/>
                    <w:jc w:val="center"/>
                    <w:rPr>
                      <w:rFonts w:eastAsia="宋体"/>
                      <w:b/>
                      <w:bCs/>
                      <w:sz w:val="21"/>
                      <w:szCs w:val="21"/>
                    </w:rPr>
                  </w:pPr>
                  <w:r>
                    <w:rPr>
                      <w:rFonts w:eastAsia="宋体"/>
                      <w:b/>
                      <w:bCs/>
                      <w:sz w:val="21"/>
                      <w:szCs w:val="21"/>
                    </w:rPr>
                    <w:t>周期</w:t>
                  </w:r>
                </w:p>
              </w:tc>
              <w:tc>
                <w:tcPr>
                  <w:tcW w:w="488" w:type="pct"/>
                  <w:tcBorders>
                    <w:right w:val="single" w:color="auto" w:sz="6" w:space="0"/>
                  </w:tcBorders>
                  <w:tcMar>
                    <w:left w:w="57" w:type="dxa"/>
                    <w:right w:w="57" w:type="dxa"/>
                  </w:tcMar>
                  <w:vAlign w:val="center"/>
                </w:tcPr>
                <w:p>
                  <w:pPr>
                    <w:adjustRightInd w:val="0"/>
                    <w:snapToGrid w:val="0"/>
                    <w:spacing w:line="320" w:lineRule="exact"/>
                    <w:jc w:val="center"/>
                    <w:rPr>
                      <w:rFonts w:eastAsia="宋体"/>
                      <w:b/>
                      <w:bCs/>
                      <w:sz w:val="21"/>
                      <w:szCs w:val="21"/>
                    </w:rPr>
                  </w:pPr>
                  <w:r>
                    <w:rPr>
                      <w:rFonts w:eastAsia="宋体"/>
                      <w:b/>
                      <w:bCs/>
                      <w:sz w:val="21"/>
                      <w:szCs w:val="21"/>
                    </w:rPr>
                    <w:t>贮存能力（t）</w:t>
                  </w:r>
                </w:p>
              </w:tc>
              <w:tc>
                <w:tcPr>
                  <w:tcW w:w="565" w:type="pct"/>
                  <w:tcBorders>
                    <w:left w:val="single" w:color="auto" w:sz="6" w:space="0"/>
                    <w:right w:val="single" w:color="auto" w:sz="4" w:space="0"/>
                  </w:tcBorders>
                  <w:vAlign w:val="center"/>
                </w:tcPr>
                <w:p>
                  <w:pPr>
                    <w:adjustRightInd w:val="0"/>
                    <w:snapToGrid w:val="0"/>
                    <w:spacing w:line="320" w:lineRule="exact"/>
                    <w:jc w:val="center"/>
                    <w:rPr>
                      <w:rFonts w:eastAsia="宋体"/>
                      <w:b/>
                      <w:bCs/>
                      <w:sz w:val="21"/>
                      <w:szCs w:val="21"/>
                    </w:rPr>
                  </w:pPr>
                  <w:r>
                    <w:rPr>
                      <w:rFonts w:eastAsia="宋体"/>
                      <w:b/>
                      <w:bCs/>
                      <w:sz w:val="21"/>
                      <w:szCs w:val="21"/>
                    </w:rPr>
                    <w:t>贮存面积（m</w:t>
                  </w:r>
                  <w:r>
                    <w:rPr>
                      <w:rFonts w:eastAsia="宋体"/>
                      <w:b/>
                      <w:bCs/>
                      <w:sz w:val="21"/>
                      <w:szCs w:val="21"/>
                      <w:vertAlign w:val="superscript"/>
                    </w:rPr>
                    <w:t>2</w:t>
                  </w:r>
                  <w:r>
                    <w:rPr>
                      <w:rFonts w:eastAsia="宋体"/>
                      <w:b/>
                      <w:bCs/>
                      <w:sz w:val="21"/>
                      <w:szCs w:val="21"/>
                    </w:rPr>
                    <w:t>）</w:t>
                  </w:r>
                </w:p>
              </w:tc>
              <w:tc>
                <w:tcPr>
                  <w:tcW w:w="366" w:type="pct"/>
                  <w:tcBorders>
                    <w:left w:val="single" w:color="auto" w:sz="4" w:space="0"/>
                  </w:tcBorders>
                  <w:vAlign w:val="center"/>
                </w:tcPr>
                <w:p>
                  <w:pPr>
                    <w:widowControl/>
                    <w:adjustRightInd w:val="0"/>
                    <w:snapToGrid w:val="0"/>
                    <w:spacing w:line="320" w:lineRule="exact"/>
                    <w:jc w:val="center"/>
                    <w:rPr>
                      <w:rFonts w:eastAsia="宋体"/>
                      <w:b/>
                      <w:bCs/>
                      <w:sz w:val="21"/>
                      <w:szCs w:val="21"/>
                    </w:rPr>
                  </w:pPr>
                  <w:r>
                    <w:rPr>
                      <w:rFonts w:eastAsia="宋体"/>
                      <w:b/>
                      <w:bCs/>
                      <w:sz w:val="21"/>
                      <w:szCs w:val="21"/>
                    </w:rPr>
                    <w:t>仓库</w:t>
                  </w:r>
                </w:p>
                <w:p>
                  <w:pPr>
                    <w:widowControl/>
                    <w:adjustRightInd w:val="0"/>
                    <w:snapToGrid w:val="0"/>
                    <w:spacing w:line="320" w:lineRule="exact"/>
                    <w:jc w:val="center"/>
                    <w:rPr>
                      <w:rFonts w:eastAsia="宋体"/>
                      <w:b/>
                      <w:bCs/>
                      <w:sz w:val="21"/>
                      <w:szCs w:val="21"/>
                    </w:rPr>
                  </w:pPr>
                  <w:r>
                    <w:rPr>
                      <w:rFonts w:eastAsia="宋体"/>
                      <w:b/>
                      <w:bCs/>
                      <w:sz w:val="21"/>
                      <w:szCs w:val="21"/>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215" w:type="pct"/>
                  <w:vMerge w:val="restart"/>
                  <w:tcBorders>
                    <w:right w:val="single" w:color="auto" w:sz="6" w:space="0"/>
                  </w:tcBorders>
                  <w:tcMar>
                    <w:left w:w="57" w:type="dxa"/>
                    <w:right w:w="57" w:type="dxa"/>
                  </w:tcMar>
                  <w:vAlign w:val="center"/>
                </w:tcPr>
                <w:p>
                  <w:pPr>
                    <w:adjustRightInd w:val="0"/>
                    <w:snapToGrid w:val="0"/>
                    <w:spacing w:line="320" w:lineRule="exact"/>
                    <w:jc w:val="center"/>
                    <w:rPr>
                      <w:rFonts w:eastAsia="宋体"/>
                      <w:sz w:val="21"/>
                      <w:szCs w:val="21"/>
                    </w:rPr>
                  </w:pPr>
                  <w:r>
                    <w:rPr>
                      <w:rFonts w:eastAsia="宋体"/>
                      <w:sz w:val="21"/>
                      <w:szCs w:val="21"/>
                    </w:rPr>
                    <w:t>1</w:t>
                  </w:r>
                </w:p>
              </w:tc>
              <w:tc>
                <w:tcPr>
                  <w:tcW w:w="326" w:type="pct"/>
                  <w:vMerge w:val="restart"/>
                  <w:tcBorders>
                    <w:left w:val="single" w:color="auto" w:sz="6" w:space="0"/>
                  </w:tcBorders>
                  <w:tcMar>
                    <w:left w:w="57" w:type="dxa"/>
                    <w:right w:w="57" w:type="dxa"/>
                  </w:tcMar>
                  <w:vAlign w:val="center"/>
                </w:tcPr>
                <w:p>
                  <w:pPr>
                    <w:adjustRightInd w:val="0"/>
                    <w:snapToGrid w:val="0"/>
                    <w:spacing w:line="320" w:lineRule="exact"/>
                    <w:jc w:val="center"/>
                    <w:rPr>
                      <w:rFonts w:eastAsia="宋体"/>
                      <w:sz w:val="21"/>
                      <w:szCs w:val="21"/>
                    </w:rPr>
                  </w:pPr>
                  <w:r>
                    <w:rPr>
                      <w:rFonts w:eastAsia="宋体"/>
                      <w:sz w:val="21"/>
                      <w:szCs w:val="21"/>
                    </w:rPr>
                    <w:t>危险废物</w:t>
                  </w:r>
                </w:p>
              </w:tc>
              <w:tc>
                <w:tcPr>
                  <w:tcW w:w="762" w:type="pct"/>
                  <w:tcMar>
                    <w:left w:w="57" w:type="dxa"/>
                    <w:right w:w="57" w:type="dxa"/>
                  </w:tcMar>
                  <w:vAlign w:val="center"/>
                </w:tcPr>
                <w:p>
                  <w:pPr>
                    <w:adjustRightInd w:val="0"/>
                    <w:snapToGrid w:val="0"/>
                    <w:spacing w:line="320" w:lineRule="exact"/>
                    <w:jc w:val="center"/>
                    <w:rPr>
                      <w:rFonts w:eastAsia="宋体"/>
                      <w:sz w:val="21"/>
                      <w:szCs w:val="21"/>
                    </w:rPr>
                  </w:pPr>
                  <w:r>
                    <w:rPr>
                      <w:rFonts w:hint="eastAsia" w:eastAsia="宋体"/>
                      <w:sz w:val="21"/>
                      <w:szCs w:val="21"/>
                    </w:rPr>
                    <w:t>医务室医疗废物</w:t>
                  </w:r>
                </w:p>
              </w:tc>
              <w:tc>
                <w:tcPr>
                  <w:tcW w:w="809" w:type="pct"/>
                  <w:tcMar>
                    <w:left w:w="57" w:type="dxa"/>
                    <w:right w:w="57" w:type="dxa"/>
                  </w:tcMar>
                  <w:vAlign w:val="center"/>
                </w:tcPr>
                <w:p>
                  <w:pPr>
                    <w:spacing w:line="240" w:lineRule="auto"/>
                    <w:jc w:val="center"/>
                    <w:rPr>
                      <w:rFonts w:eastAsia="宋体"/>
                      <w:sz w:val="21"/>
                      <w:szCs w:val="21"/>
                    </w:rPr>
                  </w:pPr>
                  <w:r>
                    <w:rPr>
                      <w:rFonts w:eastAsia="宋体"/>
                      <w:sz w:val="21"/>
                      <w:szCs w:val="21"/>
                    </w:rPr>
                    <w:t>HW01</w:t>
                  </w:r>
                </w:p>
                <w:p>
                  <w:pPr>
                    <w:adjustRightInd w:val="0"/>
                    <w:snapToGrid w:val="0"/>
                    <w:spacing w:line="240" w:lineRule="auto"/>
                    <w:jc w:val="center"/>
                    <w:rPr>
                      <w:rFonts w:eastAsia="宋体"/>
                      <w:sz w:val="21"/>
                      <w:szCs w:val="21"/>
                    </w:rPr>
                  </w:pPr>
                  <w:r>
                    <w:rPr>
                      <w:rFonts w:eastAsia="宋体"/>
                      <w:sz w:val="21"/>
                      <w:szCs w:val="21"/>
                    </w:rPr>
                    <w:t>884-001-01</w:t>
                  </w:r>
                </w:p>
              </w:tc>
              <w:tc>
                <w:tcPr>
                  <w:tcW w:w="503" w:type="pct"/>
                  <w:tcMar>
                    <w:left w:w="57" w:type="dxa"/>
                    <w:right w:w="57" w:type="dxa"/>
                  </w:tcMar>
                  <w:vAlign w:val="center"/>
                </w:tcPr>
                <w:p>
                  <w:pPr>
                    <w:widowControl/>
                    <w:adjustRightInd w:val="0"/>
                    <w:snapToGrid w:val="0"/>
                    <w:spacing w:line="320" w:lineRule="exact"/>
                    <w:jc w:val="center"/>
                    <w:rPr>
                      <w:rFonts w:eastAsia="宋体"/>
                      <w:sz w:val="21"/>
                      <w:szCs w:val="21"/>
                    </w:rPr>
                  </w:pPr>
                  <w:r>
                    <w:rPr>
                      <w:rFonts w:hint="eastAsia" w:eastAsia="宋体"/>
                      <w:sz w:val="21"/>
                      <w:szCs w:val="21"/>
                    </w:rPr>
                    <w:t>In</w:t>
                  </w:r>
                </w:p>
              </w:tc>
              <w:tc>
                <w:tcPr>
                  <w:tcW w:w="435" w:type="pct"/>
                  <w:tcMar>
                    <w:left w:w="57" w:type="dxa"/>
                    <w:right w:w="57" w:type="dxa"/>
                  </w:tcMar>
                  <w:vAlign w:val="center"/>
                </w:tcPr>
                <w:p>
                  <w:pPr>
                    <w:adjustRightInd w:val="0"/>
                    <w:snapToGrid w:val="0"/>
                    <w:spacing w:line="240" w:lineRule="auto"/>
                    <w:jc w:val="center"/>
                    <w:rPr>
                      <w:rFonts w:eastAsia="宋体"/>
                      <w:sz w:val="21"/>
                      <w:szCs w:val="21"/>
                    </w:rPr>
                  </w:pPr>
                  <w:r>
                    <w:rPr>
                      <w:rFonts w:eastAsia="宋体"/>
                      <w:sz w:val="21"/>
                      <w:szCs w:val="21"/>
                    </w:rPr>
                    <w:t>袋装</w:t>
                  </w:r>
                </w:p>
              </w:tc>
              <w:tc>
                <w:tcPr>
                  <w:tcW w:w="526" w:type="pct"/>
                  <w:tcMar>
                    <w:left w:w="57" w:type="dxa"/>
                    <w:right w:w="57" w:type="dxa"/>
                  </w:tcMar>
                  <w:vAlign w:val="center"/>
                </w:tcPr>
                <w:p>
                  <w:pPr>
                    <w:adjustRightInd w:val="0"/>
                    <w:snapToGrid w:val="0"/>
                    <w:spacing w:line="320" w:lineRule="exact"/>
                    <w:jc w:val="center"/>
                    <w:rPr>
                      <w:rFonts w:eastAsia="宋体"/>
                      <w:sz w:val="21"/>
                      <w:szCs w:val="21"/>
                    </w:rPr>
                  </w:pPr>
                  <w:r>
                    <w:rPr>
                      <w:rFonts w:hint="eastAsia" w:eastAsia="宋体"/>
                      <w:sz w:val="21"/>
                      <w:szCs w:val="21"/>
                    </w:rPr>
                    <w:t>15天</w:t>
                  </w:r>
                </w:p>
              </w:tc>
              <w:tc>
                <w:tcPr>
                  <w:tcW w:w="488" w:type="pct"/>
                  <w:tcBorders>
                    <w:right w:val="single" w:color="auto" w:sz="6" w:space="0"/>
                  </w:tcBorders>
                  <w:tcMar>
                    <w:left w:w="57" w:type="dxa"/>
                    <w:right w:w="57" w:type="dxa"/>
                  </w:tcMar>
                  <w:vAlign w:val="center"/>
                </w:tcPr>
                <w:p>
                  <w:pPr>
                    <w:adjustRightInd w:val="0"/>
                    <w:snapToGrid w:val="0"/>
                    <w:spacing w:line="320" w:lineRule="exact"/>
                    <w:jc w:val="center"/>
                    <w:rPr>
                      <w:rFonts w:eastAsia="宋体"/>
                      <w:sz w:val="21"/>
                      <w:szCs w:val="21"/>
                    </w:rPr>
                  </w:pPr>
                  <w:r>
                    <w:rPr>
                      <w:rFonts w:hint="eastAsia" w:eastAsia="宋体"/>
                      <w:sz w:val="21"/>
                      <w:szCs w:val="21"/>
                    </w:rPr>
                    <w:t>0.05</w:t>
                  </w:r>
                </w:p>
              </w:tc>
              <w:tc>
                <w:tcPr>
                  <w:tcW w:w="565" w:type="pct"/>
                  <w:vMerge w:val="restart"/>
                  <w:tcBorders>
                    <w:left w:val="single" w:color="auto" w:sz="6" w:space="0"/>
                    <w:right w:val="single" w:color="auto" w:sz="4" w:space="0"/>
                  </w:tcBorders>
                  <w:vAlign w:val="center"/>
                </w:tcPr>
                <w:p>
                  <w:pPr>
                    <w:adjustRightInd w:val="0"/>
                    <w:snapToGrid w:val="0"/>
                    <w:spacing w:line="320" w:lineRule="exact"/>
                    <w:jc w:val="center"/>
                    <w:rPr>
                      <w:rFonts w:hint="eastAsia" w:eastAsia="宋体"/>
                      <w:sz w:val="21"/>
                      <w:szCs w:val="21"/>
                      <w:lang w:eastAsia="zh-CN"/>
                    </w:rPr>
                  </w:pPr>
                  <w:r>
                    <w:rPr>
                      <w:rFonts w:hint="eastAsia" w:eastAsia="宋体"/>
                      <w:sz w:val="21"/>
                      <w:szCs w:val="21"/>
                      <w:lang w:val="en-US" w:eastAsia="zh-CN"/>
                    </w:rPr>
                    <w:t>3</w:t>
                  </w:r>
                </w:p>
              </w:tc>
              <w:tc>
                <w:tcPr>
                  <w:tcW w:w="366" w:type="pct"/>
                  <w:vMerge w:val="restart"/>
                  <w:tcBorders>
                    <w:left w:val="single" w:color="auto" w:sz="4" w:space="0"/>
                  </w:tcBorders>
                  <w:vAlign w:val="center"/>
                </w:tcPr>
                <w:p>
                  <w:pPr>
                    <w:adjustRightInd w:val="0"/>
                    <w:snapToGrid w:val="0"/>
                    <w:spacing w:line="240" w:lineRule="auto"/>
                    <w:jc w:val="center"/>
                    <w:rPr>
                      <w:rFonts w:eastAsia="宋体"/>
                      <w:sz w:val="21"/>
                      <w:szCs w:val="21"/>
                    </w:rPr>
                  </w:pPr>
                  <w:r>
                    <w:rPr>
                      <w:rFonts w:hint="eastAsia" w:eastAsia="宋体"/>
                      <w:sz w:val="21"/>
                      <w:szCs w:val="21"/>
                    </w:rPr>
                    <w:t>学校东北角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15" w:type="pct"/>
                  <w:vMerge w:val="continue"/>
                  <w:tcBorders>
                    <w:right w:val="single" w:color="auto" w:sz="6" w:space="0"/>
                  </w:tcBorders>
                  <w:tcMar>
                    <w:left w:w="57" w:type="dxa"/>
                    <w:right w:w="57" w:type="dxa"/>
                  </w:tcMar>
                  <w:vAlign w:val="center"/>
                </w:tcPr>
                <w:p>
                  <w:pPr>
                    <w:adjustRightInd w:val="0"/>
                    <w:snapToGrid w:val="0"/>
                    <w:spacing w:line="320" w:lineRule="exact"/>
                    <w:jc w:val="center"/>
                    <w:rPr>
                      <w:rFonts w:eastAsia="宋体"/>
                      <w:sz w:val="21"/>
                      <w:szCs w:val="21"/>
                    </w:rPr>
                  </w:pPr>
                </w:p>
              </w:tc>
              <w:tc>
                <w:tcPr>
                  <w:tcW w:w="326" w:type="pct"/>
                  <w:vMerge w:val="continue"/>
                  <w:tcBorders>
                    <w:left w:val="single" w:color="auto" w:sz="6" w:space="0"/>
                  </w:tcBorders>
                  <w:tcMar>
                    <w:left w:w="57" w:type="dxa"/>
                    <w:right w:w="57" w:type="dxa"/>
                  </w:tcMar>
                  <w:vAlign w:val="center"/>
                </w:tcPr>
                <w:p>
                  <w:pPr>
                    <w:adjustRightInd w:val="0"/>
                    <w:snapToGrid w:val="0"/>
                    <w:spacing w:line="320" w:lineRule="exact"/>
                    <w:jc w:val="center"/>
                    <w:rPr>
                      <w:rFonts w:eastAsia="宋体"/>
                      <w:sz w:val="21"/>
                      <w:szCs w:val="21"/>
                    </w:rPr>
                  </w:pPr>
                </w:p>
              </w:tc>
              <w:tc>
                <w:tcPr>
                  <w:tcW w:w="762" w:type="pct"/>
                  <w:tcMar>
                    <w:left w:w="57" w:type="dxa"/>
                    <w:right w:w="57" w:type="dxa"/>
                  </w:tcMar>
                  <w:vAlign w:val="center"/>
                </w:tcPr>
                <w:p>
                  <w:pPr>
                    <w:adjustRightInd w:val="0"/>
                    <w:snapToGrid w:val="0"/>
                    <w:spacing w:line="320" w:lineRule="exact"/>
                    <w:jc w:val="center"/>
                    <w:rPr>
                      <w:rFonts w:eastAsia="宋体"/>
                      <w:sz w:val="21"/>
                      <w:szCs w:val="21"/>
                    </w:rPr>
                  </w:pPr>
                  <w:r>
                    <w:rPr>
                      <w:rFonts w:hint="eastAsia" w:eastAsia="宋体"/>
                      <w:sz w:val="21"/>
                      <w:szCs w:val="21"/>
                    </w:rPr>
                    <w:t>实验室废物</w:t>
                  </w:r>
                </w:p>
              </w:tc>
              <w:tc>
                <w:tcPr>
                  <w:tcW w:w="809" w:type="pct"/>
                  <w:tcMar>
                    <w:left w:w="57" w:type="dxa"/>
                    <w:right w:w="57" w:type="dxa"/>
                  </w:tcMar>
                  <w:vAlign w:val="center"/>
                </w:tcPr>
                <w:p>
                  <w:pPr>
                    <w:spacing w:line="240" w:lineRule="auto"/>
                    <w:jc w:val="center"/>
                    <w:rPr>
                      <w:rFonts w:eastAsia="宋体"/>
                      <w:sz w:val="21"/>
                      <w:szCs w:val="21"/>
                    </w:rPr>
                  </w:pPr>
                  <w:r>
                    <w:rPr>
                      <w:rFonts w:eastAsia="宋体"/>
                      <w:sz w:val="21"/>
                      <w:szCs w:val="21"/>
                    </w:rPr>
                    <w:t>HW49</w:t>
                  </w:r>
                </w:p>
                <w:p>
                  <w:pPr>
                    <w:pStyle w:val="16"/>
                    <w:spacing w:line="240" w:lineRule="auto"/>
                    <w:rPr>
                      <w:rFonts w:ascii="Times New Roman" w:hAnsi="Times New Roman" w:eastAsia="宋体" w:cs="Times New Roman"/>
                      <w:sz w:val="21"/>
                      <w:szCs w:val="21"/>
                    </w:rPr>
                  </w:pPr>
                  <w:r>
                    <w:rPr>
                      <w:rFonts w:ascii="Times New Roman" w:hAnsi="Times New Roman" w:eastAsia="宋体" w:cs="Times New Roman"/>
                      <w:sz w:val="21"/>
                      <w:szCs w:val="21"/>
                    </w:rPr>
                    <w:t>900-047-49</w:t>
                  </w:r>
                </w:p>
              </w:tc>
              <w:tc>
                <w:tcPr>
                  <w:tcW w:w="503" w:type="pct"/>
                  <w:tcMar>
                    <w:left w:w="57" w:type="dxa"/>
                    <w:right w:w="57" w:type="dxa"/>
                  </w:tcMar>
                  <w:vAlign w:val="center"/>
                </w:tcPr>
                <w:p>
                  <w:pPr>
                    <w:widowControl/>
                    <w:adjustRightInd w:val="0"/>
                    <w:snapToGrid w:val="0"/>
                    <w:spacing w:line="320" w:lineRule="exact"/>
                    <w:jc w:val="center"/>
                    <w:rPr>
                      <w:rFonts w:eastAsia="宋体"/>
                      <w:sz w:val="21"/>
                      <w:szCs w:val="21"/>
                    </w:rPr>
                  </w:pPr>
                  <w:r>
                    <w:rPr>
                      <w:rFonts w:hint="eastAsia" w:eastAsia="宋体"/>
                      <w:sz w:val="21"/>
                      <w:szCs w:val="21"/>
                    </w:rPr>
                    <w:t>T</w:t>
                  </w:r>
                  <w:r>
                    <w:rPr>
                      <w:rFonts w:eastAsia="宋体"/>
                      <w:sz w:val="21"/>
                      <w:szCs w:val="21"/>
                    </w:rPr>
                    <w:t>/C/I/R</w:t>
                  </w:r>
                </w:p>
              </w:tc>
              <w:tc>
                <w:tcPr>
                  <w:tcW w:w="435" w:type="pct"/>
                  <w:tcMar>
                    <w:left w:w="57" w:type="dxa"/>
                    <w:right w:w="57" w:type="dxa"/>
                  </w:tcMar>
                  <w:vAlign w:val="center"/>
                </w:tcPr>
                <w:p>
                  <w:pPr>
                    <w:adjustRightInd w:val="0"/>
                    <w:snapToGrid w:val="0"/>
                    <w:spacing w:line="240" w:lineRule="auto"/>
                    <w:jc w:val="center"/>
                    <w:rPr>
                      <w:rFonts w:eastAsia="宋体"/>
                      <w:sz w:val="21"/>
                      <w:szCs w:val="21"/>
                    </w:rPr>
                  </w:pPr>
                  <w:r>
                    <w:rPr>
                      <w:rFonts w:hint="eastAsia" w:eastAsia="宋体"/>
                      <w:sz w:val="21"/>
                      <w:szCs w:val="21"/>
                    </w:rPr>
                    <w:t>桶装</w:t>
                  </w:r>
                </w:p>
              </w:tc>
              <w:tc>
                <w:tcPr>
                  <w:tcW w:w="526" w:type="pct"/>
                  <w:tcMar>
                    <w:left w:w="57" w:type="dxa"/>
                    <w:right w:w="57" w:type="dxa"/>
                  </w:tcMar>
                </w:tcPr>
                <w:p>
                  <w:pPr>
                    <w:jc w:val="center"/>
                  </w:pPr>
                  <w:r>
                    <w:rPr>
                      <w:rFonts w:hint="eastAsia" w:eastAsia="宋体"/>
                      <w:sz w:val="21"/>
                      <w:szCs w:val="21"/>
                    </w:rPr>
                    <w:t>15天</w:t>
                  </w:r>
                </w:p>
              </w:tc>
              <w:tc>
                <w:tcPr>
                  <w:tcW w:w="488" w:type="pct"/>
                  <w:tcBorders>
                    <w:right w:val="single" w:color="auto" w:sz="6" w:space="0"/>
                  </w:tcBorders>
                  <w:tcMar>
                    <w:left w:w="57" w:type="dxa"/>
                    <w:right w:w="57" w:type="dxa"/>
                  </w:tcMar>
                  <w:vAlign w:val="center"/>
                </w:tcPr>
                <w:p>
                  <w:pPr>
                    <w:adjustRightInd w:val="0"/>
                    <w:snapToGrid w:val="0"/>
                    <w:spacing w:line="320" w:lineRule="exact"/>
                    <w:jc w:val="center"/>
                    <w:rPr>
                      <w:rFonts w:eastAsia="宋体"/>
                      <w:sz w:val="21"/>
                      <w:szCs w:val="21"/>
                    </w:rPr>
                  </w:pPr>
                  <w:r>
                    <w:rPr>
                      <w:rFonts w:hint="eastAsia" w:eastAsia="宋体"/>
                      <w:sz w:val="21"/>
                      <w:szCs w:val="21"/>
                    </w:rPr>
                    <w:t>0.2</w:t>
                  </w:r>
                </w:p>
              </w:tc>
              <w:tc>
                <w:tcPr>
                  <w:tcW w:w="565" w:type="pct"/>
                  <w:vMerge w:val="continue"/>
                  <w:tcBorders>
                    <w:left w:val="single" w:color="auto" w:sz="6" w:space="0"/>
                    <w:right w:val="single" w:color="auto" w:sz="4" w:space="0"/>
                  </w:tcBorders>
                  <w:vAlign w:val="center"/>
                </w:tcPr>
                <w:p>
                  <w:pPr>
                    <w:adjustRightInd w:val="0"/>
                    <w:snapToGrid w:val="0"/>
                    <w:spacing w:line="320" w:lineRule="exact"/>
                    <w:jc w:val="center"/>
                    <w:rPr>
                      <w:rFonts w:eastAsia="宋体"/>
                      <w:sz w:val="21"/>
                      <w:szCs w:val="21"/>
                    </w:rPr>
                  </w:pPr>
                </w:p>
              </w:tc>
              <w:tc>
                <w:tcPr>
                  <w:tcW w:w="366" w:type="pct"/>
                  <w:vMerge w:val="continue"/>
                  <w:tcBorders>
                    <w:left w:val="single" w:color="auto" w:sz="4" w:space="0"/>
                  </w:tcBorders>
                  <w:vAlign w:val="center"/>
                </w:tcPr>
                <w:p>
                  <w:pPr>
                    <w:adjustRightInd w:val="0"/>
                    <w:snapToGrid w:val="0"/>
                    <w:spacing w:line="240" w:lineRule="auto"/>
                    <w:jc w:val="center"/>
                    <w:rPr>
                      <w:rFonts w:eastAsia="宋体"/>
                      <w:sz w:val="21"/>
                      <w:szCs w:val="21"/>
                    </w:rPr>
                  </w:pPr>
                </w:p>
              </w:tc>
            </w:tr>
          </w:tbl>
          <w:p>
            <w:pPr>
              <w:adjustRightInd w:val="0"/>
              <w:snapToGrid w:val="0"/>
              <w:spacing w:line="440" w:lineRule="exact"/>
              <w:ind w:firstLine="480" w:firstLineChars="200"/>
              <w:rPr>
                <w:rFonts w:eastAsia="宋体"/>
              </w:rPr>
            </w:pPr>
            <w:r>
              <w:rPr>
                <w:rFonts w:hint="eastAsia" w:eastAsia="宋体"/>
              </w:rPr>
              <w:t>2）管理要求</w:t>
            </w:r>
          </w:p>
          <w:p>
            <w:pPr>
              <w:adjustRightInd w:val="0"/>
              <w:snapToGrid w:val="0"/>
              <w:spacing w:line="440" w:lineRule="exact"/>
              <w:ind w:firstLine="480" w:firstLineChars="200"/>
              <w:rPr>
                <w:rFonts w:eastAsia="宋体"/>
              </w:rPr>
            </w:pPr>
            <w:r>
              <w:rPr>
                <w:rFonts w:eastAsia="宋体"/>
              </w:rPr>
              <w:t>学校应做好一般工业固废在厂内的暂存工作。一般工业固废严格分类收集，收集后出售给相关企业综合利用，学校需建立一般工业固体废物管理台账，如实记录产生工业固体废物的种类、数量、流向、贮存、利用、处置等信息。委托他人运输、利用、处置工业固体废物的，应当对受托方的主体资格和技术能力进行核实，依法签订书面合同，在合同中约定污染防治要求。</w:t>
            </w:r>
            <w:r>
              <w:rPr>
                <w:rFonts w:hint="eastAsia" w:eastAsia="宋体"/>
              </w:rPr>
              <w:t>废油脂采用容器包装，废玻璃器皿采用箱体包装，医疗废物采用袋装，并配有相应的托盘，防止固废的散溢和泄漏。</w:t>
            </w:r>
          </w:p>
          <w:p>
            <w:pPr>
              <w:adjustRightInd w:val="0"/>
              <w:snapToGrid w:val="0"/>
              <w:spacing w:line="440" w:lineRule="exact"/>
              <w:ind w:firstLine="480"/>
              <w:rPr>
                <w:rFonts w:eastAsia="宋体"/>
              </w:rPr>
            </w:pPr>
            <w:r>
              <w:rPr>
                <w:rFonts w:eastAsia="宋体"/>
              </w:rPr>
              <w:t>根据《危险废物贮存污染控制标准》（GB18597-2023）要求，学校须设立独立的危险废物暂存场所，并做好标识，建议学校在校区内设置单独的危废暂存库。要求如下：</w:t>
            </w:r>
          </w:p>
          <w:p>
            <w:pPr>
              <w:widowControl/>
              <w:adjustRightInd w:val="0"/>
              <w:snapToGrid w:val="0"/>
              <w:spacing w:line="440" w:lineRule="exact"/>
              <w:ind w:firstLine="480" w:firstLineChars="200"/>
              <w:jc w:val="left"/>
              <w:rPr>
                <w:rFonts w:eastAsia="宋体"/>
              </w:rPr>
            </w:pPr>
            <w:r>
              <w:rPr>
                <w:rFonts w:eastAsia="宋体"/>
              </w:rPr>
              <w:t>（1）危废暂存库应满足</w:t>
            </w:r>
            <w:r>
              <w:rPr>
                <w:rFonts w:eastAsia="宋体"/>
                <w:lang w:bidi="ar"/>
              </w:rPr>
              <w:t>防风、防晒、防雨、防漏、防渗、防腐以及其他环境污染防治措施</w:t>
            </w:r>
            <w:r>
              <w:rPr>
                <w:rFonts w:eastAsia="宋体"/>
              </w:rPr>
              <w:t>。</w:t>
            </w:r>
            <w:r>
              <w:rPr>
                <w:rFonts w:eastAsia="宋体"/>
                <w:lang w:bidi="ar"/>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eastAsia="宋体"/>
                <w:vertAlign w:val="superscript"/>
                <w:lang w:bidi="ar"/>
              </w:rPr>
              <w:t>-7</w:t>
            </w:r>
            <w:r>
              <w:rPr>
                <w:rFonts w:eastAsia="宋体"/>
                <w:lang w:bidi="ar"/>
              </w:rPr>
              <w:t>cm/s），或至少2mm厚高密度聚乙烯膜等人工防渗材料（渗透系数不大于10</w:t>
            </w:r>
            <w:r>
              <w:rPr>
                <w:rFonts w:eastAsia="宋体"/>
                <w:vertAlign w:val="superscript"/>
                <w:lang w:bidi="ar"/>
              </w:rPr>
              <w:t>-10</w:t>
            </w:r>
            <w:r>
              <w:rPr>
                <w:rFonts w:eastAsia="宋体"/>
                <w:lang w:bidi="ar"/>
              </w:rPr>
              <w:t>cm/s），或其他防渗性能等效的材料。</w:t>
            </w:r>
            <w:r>
              <w:rPr>
                <w:rFonts w:eastAsia="宋体"/>
              </w:rPr>
              <w:t>存放液体性危险废物的贮存场所必须设计导流槽和收集井。场所应有雨棚、围堰或围墙。场所需要密闭且有通风口。</w:t>
            </w:r>
          </w:p>
          <w:p>
            <w:pPr>
              <w:pStyle w:val="40"/>
              <w:spacing w:line="440" w:lineRule="exact"/>
              <w:rPr>
                <w:rFonts w:eastAsia="宋体"/>
              </w:rPr>
            </w:pPr>
            <w:r>
              <w:rPr>
                <w:rFonts w:eastAsia="宋体"/>
              </w:rPr>
              <w:t>（2）危废暂存库配备通讯设备、照明设施、安全防护服装及工具，并设有应急防护设施。</w:t>
            </w:r>
          </w:p>
          <w:p>
            <w:pPr>
              <w:pStyle w:val="40"/>
              <w:spacing w:line="440" w:lineRule="exact"/>
              <w:rPr>
                <w:rFonts w:eastAsia="宋体"/>
              </w:rPr>
            </w:pPr>
            <w:r>
              <w:rPr>
                <w:rFonts w:eastAsia="宋体"/>
              </w:rPr>
              <w:t>（3）危废仓库外须粘贴相关标志牌和警示牌，危废分类贮存、规范包装并应防止风吹、日晒、雨淋，不能乱堆乱放，定期转移委托有资质的单位安全处置。</w:t>
            </w:r>
          </w:p>
          <w:p>
            <w:pPr>
              <w:pStyle w:val="40"/>
              <w:spacing w:line="440" w:lineRule="exact"/>
              <w:rPr>
                <w:rFonts w:eastAsia="宋体"/>
              </w:rPr>
            </w:pPr>
            <w:r>
              <w:rPr>
                <w:rFonts w:eastAsia="宋体"/>
              </w:rPr>
              <w:t>（4）</w:t>
            </w:r>
            <w:r>
              <w:rPr>
                <w:rFonts w:hint="eastAsia" w:eastAsia="宋体"/>
              </w:rPr>
              <w:t>建设单位须进一步完善</w:t>
            </w:r>
            <w:r>
              <w:rPr>
                <w:rFonts w:eastAsia="宋体"/>
              </w:rPr>
              <w:t>危险废物管理台账制度（包括落实电子台账），详细记录危险废物种类、数量、流向、贮存、利用、处置等信息，委托他人运输、利用、处置危险废物时，应当对受托方的主体资格和技术能力进行核实，依法签订书面合同，在合同中约定污染防治要求及环境事故责任主体。危险废物处置应执行报批和转移联单等制度</w:t>
            </w:r>
            <w:r>
              <w:rPr>
                <w:rFonts w:hint="eastAsia" w:eastAsia="宋体"/>
              </w:rPr>
              <w:t>。</w:t>
            </w:r>
          </w:p>
          <w:p>
            <w:pPr>
              <w:pStyle w:val="40"/>
              <w:spacing w:line="440" w:lineRule="exact"/>
              <w:ind w:firstLine="482"/>
              <w:rPr>
                <w:rFonts w:eastAsia="宋体"/>
                <w:b/>
              </w:rPr>
            </w:pPr>
            <w:r>
              <w:rPr>
                <w:rFonts w:hint="eastAsia" w:eastAsia="宋体"/>
                <w:b/>
              </w:rPr>
              <w:t>5、地下水、土壤</w:t>
            </w:r>
          </w:p>
          <w:p>
            <w:pPr>
              <w:pStyle w:val="40"/>
              <w:spacing w:line="440" w:lineRule="exact"/>
              <w:rPr>
                <w:rFonts w:eastAsia="宋体"/>
              </w:rPr>
            </w:pPr>
            <w:r>
              <w:rPr>
                <w:rFonts w:hint="eastAsia" w:eastAsia="宋体"/>
              </w:rPr>
              <w:t>本项目无生产废水产生，新增废水主要为生活污水、实验室废水，实验室废水经中和池处理达标后，和经隔油池/化粪池处理的生活污水一并纳入市政污水管网，废水设施做好防渗处理，实验室地面硬化处理，故无污染途径，且学校实施教学过程中使用涉及重金属及难降解的有机物成分的物资极少。因此，本环评不进行地下水、土壤环境影响分析。</w:t>
            </w:r>
          </w:p>
          <w:p>
            <w:pPr>
              <w:pStyle w:val="40"/>
              <w:spacing w:line="440" w:lineRule="exact"/>
              <w:ind w:firstLine="482"/>
              <w:rPr>
                <w:rFonts w:eastAsia="宋体"/>
                <w:b/>
              </w:rPr>
            </w:pPr>
            <w:r>
              <w:rPr>
                <w:rFonts w:hint="eastAsia" w:eastAsia="宋体"/>
                <w:b/>
              </w:rPr>
              <w:t>6、生态</w:t>
            </w:r>
          </w:p>
          <w:p>
            <w:pPr>
              <w:pStyle w:val="40"/>
              <w:spacing w:line="440" w:lineRule="exact"/>
              <w:rPr>
                <w:rFonts w:eastAsia="宋体"/>
              </w:rPr>
            </w:pPr>
            <w:r>
              <w:rPr>
                <w:rFonts w:hint="eastAsia" w:eastAsia="宋体"/>
              </w:rPr>
              <w:t>本项目用地范围内无生态环境保护目标，对生态环境影响较小。要求建设单位落实废水、废气、固废、噪声等污染物的防治对策，在确保污染物达标排放的前提下，尽量避免对周边生态环境造成不良影响。</w:t>
            </w:r>
          </w:p>
          <w:p>
            <w:pPr>
              <w:pStyle w:val="40"/>
              <w:spacing w:line="440" w:lineRule="exact"/>
              <w:ind w:firstLine="482"/>
              <w:rPr>
                <w:rFonts w:eastAsia="宋体"/>
                <w:b/>
              </w:rPr>
            </w:pPr>
            <w:r>
              <w:rPr>
                <w:rFonts w:hint="eastAsia" w:eastAsia="宋体"/>
                <w:b/>
              </w:rPr>
              <w:t>7、环境风险</w:t>
            </w:r>
          </w:p>
          <w:p>
            <w:pPr>
              <w:pStyle w:val="40"/>
              <w:spacing w:line="440" w:lineRule="exact"/>
              <w:rPr>
                <w:rFonts w:eastAsia="宋体"/>
              </w:rPr>
            </w:pPr>
            <w:r>
              <w:rPr>
                <w:rFonts w:hint="eastAsia" w:eastAsia="宋体"/>
              </w:rPr>
              <w:t>（1）风险调查</w:t>
            </w:r>
          </w:p>
          <w:p>
            <w:pPr>
              <w:pStyle w:val="40"/>
              <w:spacing w:line="440" w:lineRule="exact"/>
              <w:rPr>
                <w:rFonts w:eastAsia="宋体"/>
              </w:rPr>
            </w:pPr>
            <w:r>
              <w:rPr>
                <w:rFonts w:hint="eastAsia" w:eastAsia="宋体"/>
              </w:rPr>
              <w:t>根据《建设项目环境风险评价技术导则》（HJ169-2018），本项目营运过程中涉及的危险物质及其消耗情况见表4-1</w:t>
            </w:r>
            <w:r>
              <w:rPr>
                <w:rFonts w:eastAsia="宋体"/>
              </w:rPr>
              <w:t>6</w:t>
            </w:r>
            <w:r>
              <w:rPr>
                <w:rFonts w:hint="eastAsia" w:eastAsia="宋体"/>
              </w:rPr>
              <w:t>。</w:t>
            </w:r>
          </w:p>
          <w:p>
            <w:pPr>
              <w:pStyle w:val="40"/>
              <w:spacing w:before="156" w:beforeLines="50" w:line="240" w:lineRule="auto"/>
              <w:ind w:firstLine="0" w:firstLineChars="0"/>
              <w:jc w:val="center"/>
              <w:rPr>
                <w:rFonts w:eastAsia="宋体"/>
                <w:b/>
                <w:bCs/>
                <w:sz w:val="21"/>
                <w:szCs w:val="21"/>
              </w:rPr>
            </w:pPr>
            <w:r>
              <w:rPr>
                <w:rFonts w:eastAsia="宋体"/>
                <w:b/>
                <w:bCs/>
                <w:sz w:val="21"/>
                <w:szCs w:val="21"/>
              </w:rPr>
              <w:t>表4-</w:t>
            </w:r>
            <w:r>
              <w:rPr>
                <w:rFonts w:hint="eastAsia" w:eastAsia="宋体"/>
                <w:b/>
                <w:bCs/>
                <w:sz w:val="21"/>
                <w:szCs w:val="21"/>
              </w:rPr>
              <w:t>17</w:t>
            </w:r>
            <w:r>
              <w:rPr>
                <w:rFonts w:eastAsia="宋体"/>
                <w:b/>
                <w:bCs/>
                <w:sz w:val="21"/>
                <w:szCs w:val="21"/>
              </w:rPr>
              <w:t xml:space="preserve"> </w:t>
            </w:r>
            <w:r>
              <w:rPr>
                <w:rFonts w:hint="eastAsia" w:eastAsia="宋体"/>
                <w:b/>
                <w:bCs/>
                <w:sz w:val="21"/>
                <w:szCs w:val="21"/>
              </w:rPr>
              <w:t>本项目涉及的危险物质及其消耗情况一览表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1308"/>
              <w:gridCol w:w="1308"/>
              <w:gridCol w:w="2679"/>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pStyle w:val="40"/>
                    <w:spacing w:line="240" w:lineRule="auto"/>
                    <w:ind w:firstLine="0" w:firstLineChars="0"/>
                    <w:jc w:val="center"/>
                    <w:rPr>
                      <w:rFonts w:eastAsia="宋体"/>
                      <w:b/>
                      <w:bCs/>
                      <w:sz w:val="21"/>
                      <w:szCs w:val="21"/>
                    </w:rPr>
                  </w:pPr>
                  <w:r>
                    <w:rPr>
                      <w:rFonts w:eastAsia="宋体"/>
                      <w:b/>
                      <w:bCs/>
                      <w:sz w:val="21"/>
                      <w:szCs w:val="21"/>
                    </w:rPr>
                    <w:t>序号</w:t>
                  </w:r>
                </w:p>
              </w:tc>
              <w:tc>
                <w:tcPr>
                  <w:tcW w:w="0" w:type="auto"/>
                  <w:vAlign w:val="center"/>
                </w:tcPr>
                <w:p>
                  <w:pPr>
                    <w:pStyle w:val="40"/>
                    <w:spacing w:line="240" w:lineRule="auto"/>
                    <w:ind w:firstLine="0" w:firstLineChars="0"/>
                    <w:jc w:val="center"/>
                    <w:rPr>
                      <w:rFonts w:eastAsia="宋体"/>
                      <w:b/>
                      <w:bCs/>
                      <w:sz w:val="21"/>
                      <w:szCs w:val="21"/>
                    </w:rPr>
                  </w:pPr>
                  <w:r>
                    <w:rPr>
                      <w:rFonts w:eastAsia="宋体"/>
                      <w:b/>
                      <w:bCs/>
                      <w:sz w:val="21"/>
                      <w:szCs w:val="21"/>
                    </w:rPr>
                    <w:t>物质名称</w:t>
                  </w:r>
                </w:p>
              </w:tc>
              <w:tc>
                <w:tcPr>
                  <w:tcW w:w="0" w:type="auto"/>
                  <w:vAlign w:val="center"/>
                </w:tcPr>
                <w:p>
                  <w:pPr>
                    <w:pStyle w:val="40"/>
                    <w:spacing w:line="240" w:lineRule="auto"/>
                    <w:ind w:firstLine="0" w:firstLineChars="0"/>
                    <w:jc w:val="center"/>
                    <w:rPr>
                      <w:rFonts w:eastAsia="宋体"/>
                      <w:b/>
                      <w:bCs/>
                      <w:sz w:val="21"/>
                      <w:szCs w:val="21"/>
                    </w:rPr>
                  </w:pPr>
                  <w:r>
                    <w:rPr>
                      <w:rFonts w:eastAsia="宋体"/>
                      <w:b/>
                      <w:bCs/>
                      <w:sz w:val="21"/>
                      <w:szCs w:val="21"/>
                    </w:rPr>
                    <w:t>包装方式</w:t>
                  </w:r>
                </w:p>
              </w:tc>
              <w:tc>
                <w:tcPr>
                  <w:tcW w:w="0" w:type="auto"/>
                  <w:vAlign w:val="center"/>
                </w:tcPr>
                <w:p>
                  <w:pPr>
                    <w:pStyle w:val="40"/>
                    <w:spacing w:line="240" w:lineRule="auto"/>
                    <w:ind w:firstLine="0" w:firstLineChars="0"/>
                    <w:jc w:val="center"/>
                    <w:rPr>
                      <w:rFonts w:eastAsia="宋体"/>
                      <w:b/>
                      <w:bCs/>
                      <w:sz w:val="21"/>
                      <w:szCs w:val="21"/>
                    </w:rPr>
                  </w:pPr>
                  <w:r>
                    <w:rPr>
                      <w:rFonts w:eastAsia="宋体"/>
                      <w:b/>
                      <w:bCs/>
                      <w:sz w:val="21"/>
                      <w:szCs w:val="21"/>
                    </w:rPr>
                    <w:t>年</w:t>
                  </w:r>
                  <w:r>
                    <w:rPr>
                      <w:rFonts w:hint="eastAsia" w:eastAsia="宋体"/>
                      <w:b/>
                      <w:bCs/>
                      <w:sz w:val="21"/>
                      <w:szCs w:val="21"/>
                    </w:rPr>
                    <w:t>预计</w:t>
                  </w:r>
                  <w:r>
                    <w:rPr>
                      <w:rFonts w:eastAsia="宋体"/>
                      <w:b/>
                      <w:bCs/>
                      <w:sz w:val="21"/>
                      <w:szCs w:val="21"/>
                    </w:rPr>
                    <w:t>使用量/产生量</w:t>
                  </w:r>
                </w:p>
                <w:p>
                  <w:pPr>
                    <w:pStyle w:val="40"/>
                    <w:spacing w:line="240" w:lineRule="auto"/>
                    <w:ind w:firstLine="0" w:firstLineChars="0"/>
                    <w:jc w:val="center"/>
                    <w:rPr>
                      <w:rFonts w:eastAsia="宋体"/>
                      <w:b/>
                      <w:bCs/>
                      <w:sz w:val="21"/>
                      <w:szCs w:val="21"/>
                    </w:rPr>
                  </w:pPr>
                  <w:r>
                    <w:rPr>
                      <w:rFonts w:eastAsia="宋体"/>
                      <w:b/>
                      <w:bCs/>
                      <w:sz w:val="21"/>
                      <w:szCs w:val="21"/>
                    </w:rPr>
                    <w:t>（t/a）</w:t>
                  </w:r>
                </w:p>
              </w:tc>
              <w:tc>
                <w:tcPr>
                  <w:tcW w:w="0" w:type="auto"/>
                  <w:vAlign w:val="center"/>
                </w:tcPr>
                <w:p>
                  <w:pPr>
                    <w:pStyle w:val="40"/>
                    <w:spacing w:line="240" w:lineRule="auto"/>
                    <w:ind w:firstLine="0" w:firstLineChars="0"/>
                    <w:jc w:val="center"/>
                    <w:rPr>
                      <w:rFonts w:eastAsia="宋体"/>
                      <w:b/>
                      <w:bCs/>
                      <w:sz w:val="21"/>
                      <w:szCs w:val="21"/>
                    </w:rPr>
                  </w:pPr>
                  <w:r>
                    <w:rPr>
                      <w:rFonts w:eastAsia="宋体"/>
                      <w:b/>
                      <w:bCs/>
                      <w:sz w:val="21"/>
                      <w:szCs w:val="21"/>
                    </w:rPr>
                    <w:t>最大储存量</w:t>
                  </w:r>
                </w:p>
                <w:p>
                  <w:pPr>
                    <w:pStyle w:val="40"/>
                    <w:spacing w:line="240" w:lineRule="auto"/>
                    <w:ind w:firstLine="0" w:firstLineChars="0"/>
                    <w:jc w:val="center"/>
                    <w:rPr>
                      <w:rFonts w:eastAsia="宋体"/>
                      <w:b/>
                      <w:bCs/>
                      <w:sz w:val="21"/>
                      <w:szCs w:val="21"/>
                    </w:rPr>
                  </w:pPr>
                  <w:r>
                    <w:rPr>
                      <w:rFonts w:eastAsia="宋体"/>
                      <w:b/>
                      <w:bCs/>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pStyle w:val="40"/>
                    <w:spacing w:line="240" w:lineRule="auto"/>
                    <w:ind w:firstLine="0" w:firstLineChars="0"/>
                    <w:jc w:val="center"/>
                    <w:rPr>
                      <w:rFonts w:eastAsia="宋体"/>
                      <w:sz w:val="21"/>
                      <w:szCs w:val="21"/>
                    </w:rPr>
                  </w:pPr>
                  <w:r>
                    <w:rPr>
                      <w:rFonts w:eastAsia="宋体"/>
                      <w:sz w:val="21"/>
                      <w:szCs w:val="21"/>
                    </w:rPr>
                    <w:t>1</w:t>
                  </w:r>
                </w:p>
              </w:tc>
              <w:tc>
                <w:tcPr>
                  <w:tcW w:w="0" w:type="auto"/>
                  <w:vAlign w:val="center"/>
                </w:tcPr>
                <w:p>
                  <w:pPr>
                    <w:pStyle w:val="40"/>
                    <w:spacing w:line="240" w:lineRule="auto"/>
                    <w:ind w:firstLine="0" w:firstLineChars="0"/>
                    <w:jc w:val="center"/>
                    <w:rPr>
                      <w:rFonts w:eastAsia="宋体"/>
                      <w:sz w:val="21"/>
                      <w:szCs w:val="21"/>
                    </w:rPr>
                  </w:pPr>
                  <w:r>
                    <w:rPr>
                      <w:rFonts w:eastAsia="宋体"/>
                      <w:sz w:val="21"/>
                      <w:szCs w:val="21"/>
                    </w:rPr>
                    <w:t>硫酸</w:t>
                  </w:r>
                </w:p>
              </w:tc>
              <w:tc>
                <w:tcPr>
                  <w:tcW w:w="0" w:type="auto"/>
                  <w:vAlign w:val="center"/>
                </w:tcPr>
                <w:p>
                  <w:pPr>
                    <w:pStyle w:val="40"/>
                    <w:spacing w:line="240" w:lineRule="auto"/>
                    <w:ind w:firstLine="0" w:firstLineChars="0"/>
                    <w:jc w:val="center"/>
                    <w:rPr>
                      <w:rFonts w:eastAsia="宋体"/>
                      <w:sz w:val="21"/>
                      <w:szCs w:val="21"/>
                    </w:rPr>
                  </w:pPr>
                  <w:r>
                    <w:rPr>
                      <w:rFonts w:eastAsia="宋体"/>
                      <w:sz w:val="21"/>
                      <w:szCs w:val="21"/>
                    </w:rPr>
                    <w:t>瓶装</w:t>
                  </w:r>
                </w:p>
              </w:tc>
              <w:tc>
                <w:tcPr>
                  <w:tcW w:w="0" w:type="auto"/>
                  <w:vAlign w:val="center"/>
                </w:tcPr>
                <w:p>
                  <w:pPr>
                    <w:pStyle w:val="40"/>
                    <w:spacing w:line="240" w:lineRule="auto"/>
                    <w:ind w:firstLine="0" w:firstLineChars="0"/>
                    <w:jc w:val="center"/>
                    <w:rPr>
                      <w:rFonts w:hint="default" w:eastAsia="宋体"/>
                      <w:sz w:val="21"/>
                      <w:szCs w:val="21"/>
                      <w:lang w:val="en-US" w:eastAsia="zh-CN"/>
                    </w:rPr>
                  </w:pPr>
                  <w:r>
                    <w:rPr>
                      <w:rFonts w:hint="eastAsia" w:eastAsia="宋体"/>
                      <w:sz w:val="21"/>
                      <w:szCs w:val="21"/>
                      <w:lang w:val="en-US" w:eastAsia="zh-CN"/>
                    </w:rPr>
                    <w:t>1.834</w:t>
                  </w:r>
                </w:p>
              </w:tc>
              <w:tc>
                <w:tcPr>
                  <w:tcW w:w="0" w:type="auto"/>
                  <w:vAlign w:val="center"/>
                </w:tcPr>
                <w:p>
                  <w:pPr>
                    <w:pStyle w:val="40"/>
                    <w:spacing w:line="240" w:lineRule="auto"/>
                    <w:ind w:firstLine="0" w:firstLineChars="0"/>
                    <w:jc w:val="center"/>
                    <w:rPr>
                      <w:rFonts w:hint="default" w:eastAsia="宋体"/>
                      <w:sz w:val="21"/>
                      <w:szCs w:val="21"/>
                      <w:lang w:val="en-US" w:eastAsia="zh-CN"/>
                    </w:rPr>
                  </w:pPr>
                  <w:r>
                    <w:rPr>
                      <w:rFonts w:hint="eastAsia" w:eastAsia="宋体"/>
                      <w:sz w:val="21"/>
                      <w:szCs w:val="21"/>
                      <w:lang w:val="en-US" w:eastAsia="zh-CN"/>
                    </w:rPr>
                    <w:t>0.917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pStyle w:val="40"/>
                    <w:spacing w:line="240" w:lineRule="auto"/>
                    <w:ind w:firstLine="0" w:firstLineChars="0"/>
                    <w:jc w:val="center"/>
                    <w:rPr>
                      <w:rFonts w:eastAsia="宋体"/>
                      <w:sz w:val="21"/>
                      <w:szCs w:val="21"/>
                    </w:rPr>
                  </w:pPr>
                  <w:r>
                    <w:rPr>
                      <w:rFonts w:eastAsia="宋体"/>
                      <w:sz w:val="21"/>
                      <w:szCs w:val="21"/>
                    </w:rPr>
                    <w:t>2</w:t>
                  </w:r>
                </w:p>
              </w:tc>
              <w:tc>
                <w:tcPr>
                  <w:tcW w:w="0" w:type="auto"/>
                  <w:vAlign w:val="center"/>
                </w:tcPr>
                <w:p>
                  <w:pPr>
                    <w:pStyle w:val="40"/>
                    <w:spacing w:line="240" w:lineRule="auto"/>
                    <w:ind w:firstLine="0" w:firstLineChars="0"/>
                    <w:jc w:val="center"/>
                    <w:rPr>
                      <w:rFonts w:eastAsia="宋体"/>
                      <w:sz w:val="21"/>
                      <w:szCs w:val="21"/>
                    </w:rPr>
                  </w:pPr>
                  <w:r>
                    <w:rPr>
                      <w:rFonts w:eastAsia="宋体"/>
                      <w:sz w:val="21"/>
                      <w:szCs w:val="21"/>
                    </w:rPr>
                    <w:t>硝酸</w:t>
                  </w:r>
                </w:p>
              </w:tc>
              <w:tc>
                <w:tcPr>
                  <w:tcW w:w="0" w:type="auto"/>
                  <w:vAlign w:val="center"/>
                </w:tcPr>
                <w:p>
                  <w:pPr>
                    <w:pStyle w:val="40"/>
                    <w:spacing w:line="240" w:lineRule="auto"/>
                    <w:ind w:firstLine="0" w:firstLineChars="0"/>
                    <w:jc w:val="center"/>
                    <w:rPr>
                      <w:rFonts w:eastAsia="宋体"/>
                      <w:sz w:val="21"/>
                      <w:szCs w:val="21"/>
                    </w:rPr>
                  </w:pPr>
                  <w:r>
                    <w:rPr>
                      <w:rFonts w:eastAsia="宋体"/>
                      <w:sz w:val="21"/>
                      <w:szCs w:val="21"/>
                    </w:rPr>
                    <w:t>瓶装</w:t>
                  </w:r>
                </w:p>
              </w:tc>
              <w:tc>
                <w:tcPr>
                  <w:tcW w:w="0" w:type="auto"/>
                  <w:vAlign w:val="center"/>
                </w:tcPr>
                <w:p>
                  <w:pPr>
                    <w:pStyle w:val="40"/>
                    <w:spacing w:line="240" w:lineRule="auto"/>
                    <w:ind w:firstLine="0" w:firstLineChars="0"/>
                    <w:jc w:val="center"/>
                    <w:rPr>
                      <w:rFonts w:hint="default" w:eastAsia="宋体"/>
                      <w:sz w:val="21"/>
                      <w:szCs w:val="21"/>
                      <w:lang w:val="en-US" w:eastAsia="zh-CN"/>
                    </w:rPr>
                  </w:pPr>
                  <w:r>
                    <w:rPr>
                      <w:rFonts w:hint="eastAsia" w:eastAsia="宋体"/>
                      <w:sz w:val="21"/>
                      <w:szCs w:val="21"/>
                      <w:lang w:val="en-US" w:eastAsia="zh-CN"/>
                    </w:rPr>
                    <w:t>2.145</w:t>
                  </w:r>
                </w:p>
              </w:tc>
              <w:tc>
                <w:tcPr>
                  <w:tcW w:w="0" w:type="auto"/>
                  <w:vAlign w:val="center"/>
                </w:tcPr>
                <w:p>
                  <w:pPr>
                    <w:pStyle w:val="40"/>
                    <w:spacing w:line="240" w:lineRule="auto"/>
                    <w:ind w:firstLine="0" w:firstLineChars="0"/>
                    <w:jc w:val="center"/>
                    <w:rPr>
                      <w:rFonts w:hint="default" w:eastAsia="宋体"/>
                      <w:sz w:val="21"/>
                      <w:szCs w:val="21"/>
                      <w:lang w:val="en-US" w:eastAsia="zh-CN"/>
                    </w:rPr>
                  </w:pPr>
                  <w:r>
                    <w:rPr>
                      <w:rFonts w:hint="eastAsia" w:eastAsia="宋体"/>
                      <w:sz w:val="21"/>
                      <w:szCs w:val="21"/>
                      <w:lang w:val="en-US" w:eastAsia="zh-CN"/>
                    </w:rPr>
                    <w:t>0.715</w:t>
                  </w:r>
                </w:p>
              </w:tc>
            </w:tr>
          </w:tbl>
          <w:p>
            <w:pPr>
              <w:pStyle w:val="7"/>
              <w:adjustRightInd w:val="0"/>
              <w:snapToGrid w:val="0"/>
              <w:spacing w:line="440" w:lineRule="exact"/>
              <w:ind w:firstLine="480"/>
              <w:rPr>
                <w:sz w:val="24"/>
                <w:szCs w:val="24"/>
              </w:rPr>
            </w:pPr>
            <w:r>
              <w:rPr>
                <w:rFonts w:hint="eastAsia"/>
                <w:sz w:val="24"/>
                <w:szCs w:val="24"/>
              </w:rPr>
              <w:t>根据《建设项目环境风险评价技术导则》（HJ169-2018）附录B确定危险物质的临界量，定量分析危险物质数量与临界量的比值（Q），详见表4-1</w:t>
            </w:r>
            <w:r>
              <w:rPr>
                <w:sz w:val="24"/>
                <w:szCs w:val="24"/>
              </w:rPr>
              <w:t>7</w:t>
            </w:r>
            <w:r>
              <w:rPr>
                <w:rFonts w:hint="eastAsia"/>
                <w:sz w:val="24"/>
                <w:szCs w:val="24"/>
              </w:rPr>
              <w:t>。</w:t>
            </w:r>
          </w:p>
          <w:p>
            <w:pPr>
              <w:pStyle w:val="5"/>
              <w:spacing w:before="0"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表4</w:t>
            </w:r>
            <w:r>
              <w:rPr>
                <w:rFonts w:ascii="Times New Roman" w:hAnsi="Times New Roman" w:eastAsia="宋体" w:cs="Times New Roman"/>
                <w:sz w:val="21"/>
                <w:szCs w:val="21"/>
              </w:rPr>
              <w:t>-</w:t>
            </w:r>
            <w:r>
              <w:rPr>
                <w:rFonts w:hint="eastAsia" w:ascii="Times New Roman" w:hAnsi="Times New Roman" w:eastAsia="宋体" w:cs="Times New Roman"/>
                <w:sz w:val="21"/>
                <w:szCs w:val="21"/>
              </w:rPr>
              <w:t>18</w:t>
            </w:r>
            <w:r>
              <w:rPr>
                <w:rFonts w:ascii="Times New Roman" w:hAnsi="Times New Roman" w:eastAsia="宋体" w:cs="Times New Roman"/>
                <w:sz w:val="21"/>
                <w:szCs w:val="21"/>
              </w:rPr>
              <w:t>危险物质最大储存量与临界量的比值</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03"/>
              <w:gridCol w:w="1930"/>
              <w:gridCol w:w="1038"/>
              <w:gridCol w:w="1685"/>
              <w:gridCol w:w="1297"/>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394" w:type="pct"/>
                  <w:vAlign w:val="center"/>
                </w:tcPr>
                <w:p>
                  <w:pPr>
                    <w:pStyle w:val="25"/>
                    <w:widowControl/>
                    <w:adjustRightInd w:val="0"/>
                    <w:snapToGrid w:val="0"/>
                    <w:spacing w:before="0" w:beforeAutospacing="0" w:after="0" w:afterAutospacing="0" w:line="240" w:lineRule="auto"/>
                    <w:jc w:val="center"/>
                    <w:rPr>
                      <w:rFonts w:eastAsia="宋体"/>
                      <w:kern w:val="2"/>
                      <w:sz w:val="21"/>
                      <w:szCs w:val="21"/>
                    </w:rPr>
                  </w:pPr>
                  <w:r>
                    <w:rPr>
                      <w:rFonts w:eastAsia="宋体"/>
                      <w:kern w:val="2"/>
                      <w:sz w:val="21"/>
                      <w:szCs w:val="21"/>
                    </w:rPr>
                    <w:t>序号</w:t>
                  </w:r>
                </w:p>
              </w:tc>
              <w:tc>
                <w:tcPr>
                  <w:tcW w:w="1262" w:type="pct"/>
                  <w:vAlign w:val="center"/>
                </w:tcPr>
                <w:p>
                  <w:pPr>
                    <w:pStyle w:val="25"/>
                    <w:widowControl/>
                    <w:adjustRightInd w:val="0"/>
                    <w:snapToGrid w:val="0"/>
                    <w:spacing w:before="0" w:beforeAutospacing="0" w:after="0" w:afterAutospacing="0" w:line="240" w:lineRule="auto"/>
                    <w:jc w:val="center"/>
                    <w:rPr>
                      <w:rFonts w:eastAsia="宋体"/>
                      <w:kern w:val="2"/>
                      <w:sz w:val="21"/>
                      <w:szCs w:val="21"/>
                    </w:rPr>
                  </w:pPr>
                  <w:r>
                    <w:rPr>
                      <w:rFonts w:eastAsia="宋体"/>
                      <w:kern w:val="2"/>
                      <w:sz w:val="21"/>
                      <w:szCs w:val="21"/>
                    </w:rPr>
                    <w:t>危险物质名称</w:t>
                  </w:r>
                </w:p>
              </w:tc>
              <w:tc>
                <w:tcPr>
                  <w:tcW w:w="679" w:type="pct"/>
                  <w:vAlign w:val="center"/>
                </w:tcPr>
                <w:p>
                  <w:pPr>
                    <w:pStyle w:val="25"/>
                    <w:widowControl/>
                    <w:adjustRightInd w:val="0"/>
                    <w:snapToGrid w:val="0"/>
                    <w:spacing w:before="0" w:beforeAutospacing="0" w:after="0" w:afterAutospacing="0" w:line="240" w:lineRule="auto"/>
                    <w:jc w:val="center"/>
                    <w:rPr>
                      <w:rFonts w:eastAsia="宋体"/>
                      <w:kern w:val="2"/>
                      <w:sz w:val="21"/>
                      <w:szCs w:val="21"/>
                    </w:rPr>
                  </w:pPr>
                  <w:r>
                    <w:rPr>
                      <w:rFonts w:eastAsia="宋体"/>
                      <w:kern w:val="2"/>
                      <w:sz w:val="21"/>
                      <w:szCs w:val="21"/>
                    </w:rPr>
                    <w:t>CAS号</w:t>
                  </w:r>
                </w:p>
              </w:tc>
              <w:tc>
                <w:tcPr>
                  <w:tcW w:w="1102" w:type="pct"/>
                  <w:vAlign w:val="center"/>
                </w:tcPr>
                <w:p>
                  <w:pPr>
                    <w:pStyle w:val="25"/>
                    <w:widowControl/>
                    <w:adjustRightInd w:val="0"/>
                    <w:snapToGrid w:val="0"/>
                    <w:spacing w:before="0" w:beforeAutospacing="0" w:after="0" w:afterAutospacing="0" w:line="240" w:lineRule="auto"/>
                    <w:jc w:val="center"/>
                    <w:rPr>
                      <w:rFonts w:eastAsia="宋体"/>
                      <w:kern w:val="2"/>
                      <w:sz w:val="21"/>
                      <w:szCs w:val="21"/>
                    </w:rPr>
                  </w:pPr>
                  <w:r>
                    <w:rPr>
                      <w:rFonts w:eastAsia="宋体"/>
                      <w:kern w:val="2"/>
                      <w:sz w:val="21"/>
                      <w:szCs w:val="21"/>
                    </w:rPr>
                    <w:t>最大存在总量（t）</w:t>
                  </w:r>
                </w:p>
              </w:tc>
              <w:tc>
                <w:tcPr>
                  <w:tcW w:w="848" w:type="pct"/>
                  <w:vAlign w:val="center"/>
                </w:tcPr>
                <w:p>
                  <w:pPr>
                    <w:pStyle w:val="25"/>
                    <w:widowControl/>
                    <w:adjustRightInd w:val="0"/>
                    <w:snapToGrid w:val="0"/>
                    <w:spacing w:before="0" w:beforeAutospacing="0" w:after="0" w:afterAutospacing="0" w:line="240" w:lineRule="auto"/>
                    <w:jc w:val="center"/>
                    <w:rPr>
                      <w:rFonts w:eastAsia="宋体"/>
                      <w:kern w:val="2"/>
                      <w:sz w:val="21"/>
                      <w:szCs w:val="21"/>
                    </w:rPr>
                  </w:pPr>
                  <w:r>
                    <w:rPr>
                      <w:rFonts w:eastAsia="宋体"/>
                      <w:kern w:val="2"/>
                      <w:sz w:val="21"/>
                      <w:szCs w:val="21"/>
                    </w:rPr>
                    <w:t>临界量（t）</w:t>
                  </w:r>
                </w:p>
              </w:tc>
              <w:tc>
                <w:tcPr>
                  <w:tcW w:w="715" w:type="pct"/>
                  <w:vAlign w:val="center"/>
                </w:tcPr>
                <w:p>
                  <w:pPr>
                    <w:pStyle w:val="25"/>
                    <w:widowControl/>
                    <w:adjustRightInd w:val="0"/>
                    <w:snapToGrid w:val="0"/>
                    <w:spacing w:before="0" w:beforeAutospacing="0" w:after="0" w:afterAutospacing="0" w:line="240" w:lineRule="auto"/>
                    <w:jc w:val="center"/>
                    <w:rPr>
                      <w:rFonts w:eastAsia="宋体"/>
                      <w:kern w:val="2"/>
                      <w:sz w:val="21"/>
                      <w:szCs w:val="21"/>
                    </w:rPr>
                  </w:pPr>
                  <w:r>
                    <w:rPr>
                      <w:rFonts w:eastAsia="宋体"/>
                      <w:kern w:val="2"/>
                      <w:sz w:val="21"/>
                      <w:szCs w:val="21"/>
                    </w:rPr>
                    <w:t>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4" w:type="pct"/>
                  <w:vAlign w:val="center"/>
                </w:tcPr>
                <w:p>
                  <w:pPr>
                    <w:pStyle w:val="25"/>
                    <w:widowControl/>
                    <w:adjustRightInd w:val="0"/>
                    <w:snapToGrid w:val="0"/>
                    <w:spacing w:before="0" w:beforeAutospacing="0" w:after="0" w:afterAutospacing="0" w:line="240" w:lineRule="auto"/>
                    <w:jc w:val="center"/>
                    <w:rPr>
                      <w:rFonts w:eastAsia="宋体"/>
                      <w:kern w:val="2"/>
                      <w:sz w:val="21"/>
                      <w:szCs w:val="21"/>
                    </w:rPr>
                  </w:pPr>
                  <w:r>
                    <w:rPr>
                      <w:rFonts w:eastAsia="宋体"/>
                      <w:kern w:val="2"/>
                      <w:sz w:val="21"/>
                      <w:szCs w:val="21"/>
                    </w:rPr>
                    <w:t>1</w:t>
                  </w:r>
                </w:p>
              </w:tc>
              <w:tc>
                <w:tcPr>
                  <w:tcW w:w="1262" w:type="pct"/>
                  <w:vAlign w:val="center"/>
                </w:tcPr>
                <w:p>
                  <w:pPr>
                    <w:pStyle w:val="25"/>
                    <w:widowControl/>
                    <w:adjustRightInd w:val="0"/>
                    <w:snapToGrid w:val="0"/>
                    <w:spacing w:before="0" w:beforeAutospacing="0" w:after="0" w:afterAutospacing="0" w:line="240" w:lineRule="auto"/>
                    <w:jc w:val="center"/>
                    <w:rPr>
                      <w:rFonts w:eastAsia="宋体"/>
                      <w:kern w:val="2"/>
                      <w:sz w:val="21"/>
                      <w:szCs w:val="21"/>
                    </w:rPr>
                  </w:pPr>
                  <w:r>
                    <w:rPr>
                      <w:rFonts w:eastAsia="宋体"/>
                      <w:kern w:val="2"/>
                      <w:sz w:val="21"/>
                      <w:szCs w:val="21"/>
                    </w:rPr>
                    <w:t>危险废物</w:t>
                  </w:r>
                </w:p>
              </w:tc>
              <w:tc>
                <w:tcPr>
                  <w:tcW w:w="679" w:type="pct"/>
                  <w:vAlign w:val="center"/>
                </w:tcPr>
                <w:p>
                  <w:pPr>
                    <w:pStyle w:val="25"/>
                    <w:widowControl/>
                    <w:adjustRightInd w:val="0"/>
                    <w:snapToGrid w:val="0"/>
                    <w:spacing w:before="0" w:beforeAutospacing="0" w:after="0" w:afterAutospacing="0" w:line="240" w:lineRule="auto"/>
                    <w:jc w:val="center"/>
                    <w:rPr>
                      <w:rFonts w:eastAsia="宋体"/>
                      <w:kern w:val="2"/>
                      <w:sz w:val="21"/>
                      <w:szCs w:val="21"/>
                    </w:rPr>
                  </w:pPr>
                  <w:r>
                    <w:rPr>
                      <w:rFonts w:eastAsia="宋体"/>
                      <w:kern w:val="2"/>
                      <w:sz w:val="21"/>
                      <w:szCs w:val="21"/>
                    </w:rPr>
                    <w:t>/</w:t>
                  </w:r>
                </w:p>
              </w:tc>
              <w:tc>
                <w:tcPr>
                  <w:tcW w:w="1102" w:type="pct"/>
                  <w:vAlign w:val="center"/>
                </w:tcPr>
                <w:p>
                  <w:pPr>
                    <w:pStyle w:val="25"/>
                    <w:widowControl/>
                    <w:adjustRightInd w:val="0"/>
                    <w:snapToGrid w:val="0"/>
                    <w:spacing w:before="0" w:beforeAutospacing="0" w:after="0" w:afterAutospacing="0" w:line="240" w:lineRule="auto"/>
                    <w:jc w:val="center"/>
                    <w:rPr>
                      <w:rFonts w:hint="default" w:eastAsia="宋体"/>
                      <w:kern w:val="2"/>
                      <w:sz w:val="21"/>
                      <w:szCs w:val="21"/>
                      <w:lang w:val="en-US" w:eastAsia="zh-CN"/>
                    </w:rPr>
                  </w:pPr>
                  <w:r>
                    <w:rPr>
                      <w:rFonts w:hint="eastAsia" w:eastAsia="宋体"/>
                      <w:kern w:val="2"/>
                      <w:sz w:val="21"/>
                      <w:szCs w:val="21"/>
                      <w:lang w:val="en-US" w:eastAsia="zh-CN"/>
                    </w:rPr>
                    <w:t>0.25</w:t>
                  </w:r>
                </w:p>
              </w:tc>
              <w:tc>
                <w:tcPr>
                  <w:tcW w:w="848" w:type="pct"/>
                  <w:vAlign w:val="center"/>
                </w:tcPr>
                <w:p>
                  <w:pPr>
                    <w:pStyle w:val="25"/>
                    <w:widowControl/>
                    <w:adjustRightInd w:val="0"/>
                    <w:snapToGrid w:val="0"/>
                    <w:spacing w:before="0" w:beforeAutospacing="0" w:after="0" w:afterAutospacing="0" w:line="240" w:lineRule="auto"/>
                    <w:jc w:val="center"/>
                    <w:rPr>
                      <w:rFonts w:eastAsia="宋体"/>
                      <w:kern w:val="2"/>
                      <w:sz w:val="21"/>
                      <w:szCs w:val="21"/>
                    </w:rPr>
                  </w:pPr>
                  <w:r>
                    <w:rPr>
                      <w:rFonts w:eastAsia="宋体"/>
                      <w:kern w:val="2"/>
                      <w:sz w:val="21"/>
                      <w:szCs w:val="21"/>
                    </w:rPr>
                    <w:t>50*</w:t>
                  </w:r>
                </w:p>
              </w:tc>
              <w:tc>
                <w:tcPr>
                  <w:tcW w:w="715" w:type="pct"/>
                  <w:vAlign w:val="center"/>
                </w:tcPr>
                <w:p>
                  <w:pPr>
                    <w:widowControl/>
                    <w:spacing w:line="240" w:lineRule="auto"/>
                    <w:jc w:val="center"/>
                    <w:textAlignment w:val="center"/>
                    <w:rPr>
                      <w:rFonts w:hint="default" w:eastAsia="宋体"/>
                      <w:sz w:val="21"/>
                      <w:szCs w:val="21"/>
                      <w:lang w:val="en-US" w:eastAsia="zh-CN"/>
                    </w:rPr>
                  </w:pPr>
                  <w:r>
                    <w:rPr>
                      <w:rFonts w:hint="eastAsia" w:eastAsia="宋体"/>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4" w:type="pct"/>
                  <w:vAlign w:val="center"/>
                </w:tcPr>
                <w:p>
                  <w:pPr>
                    <w:pStyle w:val="25"/>
                    <w:widowControl/>
                    <w:adjustRightInd w:val="0"/>
                    <w:snapToGrid w:val="0"/>
                    <w:spacing w:before="0" w:beforeAutospacing="0" w:after="0" w:afterAutospacing="0" w:line="240" w:lineRule="auto"/>
                    <w:jc w:val="center"/>
                    <w:rPr>
                      <w:rFonts w:eastAsia="宋体"/>
                      <w:kern w:val="2"/>
                      <w:sz w:val="21"/>
                      <w:szCs w:val="21"/>
                    </w:rPr>
                  </w:pPr>
                  <w:r>
                    <w:rPr>
                      <w:rFonts w:eastAsia="宋体"/>
                      <w:kern w:val="2"/>
                      <w:sz w:val="21"/>
                      <w:szCs w:val="21"/>
                    </w:rPr>
                    <w:t>2</w:t>
                  </w:r>
                </w:p>
              </w:tc>
              <w:tc>
                <w:tcPr>
                  <w:tcW w:w="1262" w:type="pct"/>
                  <w:vAlign w:val="center"/>
                </w:tcPr>
                <w:p>
                  <w:pPr>
                    <w:pStyle w:val="25"/>
                    <w:widowControl/>
                    <w:adjustRightInd w:val="0"/>
                    <w:snapToGrid w:val="0"/>
                    <w:spacing w:before="0" w:beforeAutospacing="0" w:after="0" w:afterAutospacing="0" w:line="240" w:lineRule="auto"/>
                    <w:jc w:val="center"/>
                    <w:rPr>
                      <w:rFonts w:eastAsia="宋体"/>
                      <w:kern w:val="2"/>
                      <w:sz w:val="21"/>
                      <w:szCs w:val="21"/>
                    </w:rPr>
                  </w:pPr>
                  <w:r>
                    <w:rPr>
                      <w:rFonts w:eastAsia="宋体"/>
                      <w:sz w:val="21"/>
                      <w:szCs w:val="21"/>
                    </w:rPr>
                    <w:t>硫酸</w:t>
                  </w:r>
                </w:p>
              </w:tc>
              <w:tc>
                <w:tcPr>
                  <w:tcW w:w="679" w:type="pct"/>
                  <w:vAlign w:val="center"/>
                </w:tcPr>
                <w:p>
                  <w:pPr>
                    <w:pStyle w:val="25"/>
                    <w:widowControl/>
                    <w:adjustRightInd w:val="0"/>
                    <w:snapToGrid w:val="0"/>
                    <w:spacing w:before="0" w:beforeAutospacing="0" w:after="0" w:afterAutospacing="0" w:line="240" w:lineRule="auto"/>
                    <w:jc w:val="center"/>
                    <w:rPr>
                      <w:rFonts w:eastAsia="宋体"/>
                      <w:kern w:val="2"/>
                      <w:sz w:val="21"/>
                      <w:szCs w:val="21"/>
                    </w:rPr>
                  </w:pPr>
                  <w:r>
                    <w:rPr>
                      <w:rFonts w:eastAsia="宋体"/>
                      <w:kern w:val="2"/>
                      <w:sz w:val="21"/>
                      <w:szCs w:val="21"/>
                    </w:rPr>
                    <w:t>7664-93-9</w:t>
                  </w:r>
                </w:p>
              </w:tc>
              <w:tc>
                <w:tcPr>
                  <w:tcW w:w="1102" w:type="pct"/>
                  <w:vAlign w:val="center"/>
                </w:tcPr>
                <w:p>
                  <w:pPr>
                    <w:pStyle w:val="25"/>
                    <w:widowControl/>
                    <w:adjustRightInd w:val="0"/>
                    <w:snapToGrid w:val="0"/>
                    <w:spacing w:before="0" w:beforeAutospacing="0" w:after="0" w:afterAutospacing="0" w:line="240" w:lineRule="auto"/>
                    <w:jc w:val="center"/>
                    <w:rPr>
                      <w:rFonts w:hint="default" w:eastAsia="宋体"/>
                      <w:kern w:val="2"/>
                      <w:sz w:val="21"/>
                      <w:szCs w:val="21"/>
                      <w:lang w:val="en-US" w:eastAsia="zh-CN"/>
                    </w:rPr>
                  </w:pPr>
                  <w:r>
                    <w:rPr>
                      <w:rFonts w:hint="eastAsia" w:eastAsia="宋体"/>
                      <w:kern w:val="2"/>
                      <w:sz w:val="21"/>
                      <w:szCs w:val="21"/>
                      <w:lang w:val="en-US" w:eastAsia="zh-CN"/>
                    </w:rPr>
                    <w:t>0.917</w:t>
                  </w:r>
                </w:p>
              </w:tc>
              <w:tc>
                <w:tcPr>
                  <w:tcW w:w="848" w:type="pct"/>
                  <w:vAlign w:val="center"/>
                </w:tcPr>
                <w:p>
                  <w:pPr>
                    <w:pStyle w:val="25"/>
                    <w:widowControl/>
                    <w:adjustRightInd w:val="0"/>
                    <w:snapToGrid w:val="0"/>
                    <w:spacing w:before="0" w:beforeAutospacing="0" w:after="0" w:afterAutospacing="0" w:line="240" w:lineRule="auto"/>
                    <w:jc w:val="center"/>
                    <w:rPr>
                      <w:rFonts w:eastAsia="宋体"/>
                      <w:kern w:val="2"/>
                      <w:sz w:val="21"/>
                      <w:szCs w:val="21"/>
                    </w:rPr>
                  </w:pPr>
                  <w:r>
                    <w:rPr>
                      <w:rFonts w:eastAsia="宋体"/>
                      <w:kern w:val="2"/>
                      <w:sz w:val="21"/>
                      <w:szCs w:val="21"/>
                    </w:rPr>
                    <w:t>10</w:t>
                  </w:r>
                </w:p>
              </w:tc>
              <w:tc>
                <w:tcPr>
                  <w:tcW w:w="715" w:type="pct"/>
                  <w:vAlign w:val="center"/>
                </w:tcPr>
                <w:p>
                  <w:pPr>
                    <w:widowControl/>
                    <w:spacing w:line="240" w:lineRule="auto"/>
                    <w:jc w:val="center"/>
                    <w:textAlignment w:val="center"/>
                    <w:rPr>
                      <w:rFonts w:hint="default" w:eastAsia="宋体"/>
                      <w:sz w:val="21"/>
                      <w:szCs w:val="21"/>
                      <w:lang w:val="en-US" w:eastAsia="zh-CN"/>
                    </w:rPr>
                  </w:pPr>
                  <w:r>
                    <w:rPr>
                      <w:rFonts w:hint="eastAsia" w:eastAsia="宋体"/>
                      <w:sz w:val="21"/>
                      <w:szCs w:val="21"/>
                      <w:lang w:val="en-US" w:eastAsia="zh-CN"/>
                    </w:rPr>
                    <w:t>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4" w:type="pct"/>
                  <w:vAlign w:val="center"/>
                </w:tcPr>
                <w:p>
                  <w:pPr>
                    <w:pStyle w:val="25"/>
                    <w:widowControl/>
                    <w:adjustRightInd w:val="0"/>
                    <w:snapToGrid w:val="0"/>
                    <w:spacing w:before="0" w:beforeAutospacing="0" w:after="0" w:afterAutospacing="0" w:line="240" w:lineRule="auto"/>
                    <w:jc w:val="center"/>
                    <w:rPr>
                      <w:rFonts w:eastAsia="宋体"/>
                      <w:kern w:val="2"/>
                      <w:sz w:val="21"/>
                      <w:szCs w:val="21"/>
                    </w:rPr>
                  </w:pPr>
                  <w:r>
                    <w:rPr>
                      <w:rFonts w:eastAsia="宋体"/>
                      <w:kern w:val="2"/>
                      <w:sz w:val="21"/>
                      <w:szCs w:val="21"/>
                    </w:rPr>
                    <w:t>3</w:t>
                  </w:r>
                </w:p>
              </w:tc>
              <w:tc>
                <w:tcPr>
                  <w:tcW w:w="1262" w:type="pct"/>
                  <w:vAlign w:val="center"/>
                </w:tcPr>
                <w:p>
                  <w:pPr>
                    <w:pStyle w:val="25"/>
                    <w:widowControl/>
                    <w:adjustRightInd w:val="0"/>
                    <w:snapToGrid w:val="0"/>
                    <w:spacing w:before="0" w:beforeAutospacing="0" w:after="0" w:afterAutospacing="0" w:line="240" w:lineRule="auto"/>
                    <w:jc w:val="center"/>
                    <w:rPr>
                      <w:rFonts w:eastAsia="宋体"/>
                      <w:kern w:val="2"/>
                      <w:sz w:val="21"/>
                      <w:szCs w:val="21"/>
                    </w:rPr>
                  </w:pPr>
                  <w:r>
                    <w:rPr>
                      <w:rFonts w:eastAsia="宋体"/>
                      <w:sz w:val="21"/>
                      <w:szCs w:val="21"/>
                    </w:rPr>
                    <w:t>硝酸</w:t>
                  </w:r>
                </w:p>
              </w:tc>
              <w:tc>
                <w:tcPr>
                  <w:tcW w:w="679" w:type="pct"/>
                  <w:vAlign w:val="center"/>
                </w:tcPr>
                <w:p>
                  <w:pPr>
                    <w:pStyle w:val="25"/>
                    <w:widowControl/>
                    <w:adjustRightInd w:val="0"/>
                    <w:snapToGrid w:val="0"/>
                    <w:spacing w:before="0" w:beforeAutospacing="0" w:after="0" w:afterAutospacing="0" w:line="240" w:lineRule="auto"/>
                    <w:jc w:val="center"/>
                    <w:rPr>
                      <w:rFonts w:eastAsia="宋体"/>
                      <w:kern w:val="2"/>
                      <w:sz w:val="21"/>
                      <w:szCs w:val="21"/>
                    </w:rPr>
                  </w:pPr>
                  <w:r>
                    <w:rPr>
                      <w:rFonts w:eastAsia="宋体"/>
                      <w:kern w:val="2"/>
                      <w:sz w:val="21"/>
                      <w:szCs w:val="21"/>
                    </w:rPr>
                    <w:t>7697-37-2</w:t>
                  </w:r>
                </w:p>
              </w:tc>
              <w:tc>
                <w:tcPr>
                  <w:tcW w:w="1102" w:type="pct"/>
                  <w:vAlign w:val="center"/>
                </w:tcPr>
                <w:p>
                  <w:pPr>
                    <w:pStyle w:val="25"/>
                    <w:widowControl/>
                    <w:adjustRightInd w:val="0"/>
                    <w:snapToGrid w:val="0"/>
                    <w:spacing w:before="0" w:beforeAutospacing="0" w:after="0" w:afterAutospacing="0" w:line="240" w:lineRule="auto"/>
                    <w:jc w:val="center"/>
                    <w:rPr>
                      <w:rFonts w:hint="default" w:eastAsia="宋体"/>
                      <w:kern w:val="2"/>
                      <w:sz w:val="21"/>
                      <w:szCs w:val="21"/>
                      <w:lang w:val="en-US" w:eastAsia="zh-CN"/>
                    </w:rPr>
                  </w:pPr>
                  <w:r>
                    <w:rPr>
                      <w:rFonts w:hint="eastAsia" w:eastAsia="宋体"/>
                      <w:kern w:val="2"/>
                      <w:sz w:val="21"/>
                      <w:szCs w:val="21"/>
                      <w:lang w:val="en-US" w:eastAsia="zh-CN"/>
                    </w:rPr>
                    <w:t>0.715</w:t>
                  </w:r>
                </w:p>
              </w:tc>
              <w:tc>
                <w:tcPr>
                  <w:tcW w:w="848" w:type="pct"/>
                  <w:vAlign w:val="center"/>
                </w:tcPr>
                <w:p>
                  <w:pPr>
                    <w:pStyle w:val="25"/>
                    <w:widowControl/>
                    <w:adjustRightInd w:val="0"/>
                    <w:snapToGrid w:val="0"/>
                    <w:spacing w:before="0" w:beforeAutospacing="0" w:after="0" w:afterAutospacing="0" w:line="240" w:lineRule="auto"/>
                    <w:jc w:val="center"/>
                    <w:rPr>
                      <w:rFonts w:eastAsia="宋体"/>
                      <w:kern w:val="2"/>
                      <w:sz w:val="21"/>
                      <w:szCs w:val="21"/>
                    </w:rPr>
                  </w:pPr>
                  <w:r>
                    <w:rPr>
                      <w:rFonts w:eastAsia="宋体"/>
                      <w:kern w:val="2"/>
                      <w:sz w:val="21"/>
                      <w:szCs w:val="21"/>
                    </w:rPr>
                    <w:t>7.5</w:t>
                  </w:r>
                </w:p>
              </w:tc>
              <w:tc>
                <w:tcPr>
                  <w:tcW w:w="715" w:type="pct"/>
                  <w:vAlign w:val="center"/>
                </w:tcPr>
                <w:p>
                  <w:pPr>
                    <w:widowControl/>
                    <w:spacing w:line="240" w:lineRule="auto"/>
                    <w:jc w:val="center"/>
                    <w:textAlignment w:val="center"/>
                    <w:rPr>
                      <w:rFonts w:hint="default" w:eastAsia="宋体"/>
                      <w:sz w:val="21"/>
                      <w:szCs w:val="21"/>
                      <w:lang w:val="en-US" w:eastAsia="zh-CN"/>
                    </w:rPr>
                  </w:pPr>
                  <w:r>
                    <w:rPr>
                      <w:rFonts w:hint="eastAsia" w:eastAsia="宋体"/>
                      <w:sz w:val="21"/>
                      <w:szCs w:val="21"/>
                      <w:lang w:val="en-US" w:eastAsia="zh-CN"/>
                    </w:rPr>
                    <w:t>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85" w:type="pct"/>
                  <w:gridSpan w:val="5"/>
                  <w:vAlign w:val="center"/>
                </w:tcPr>
                <w:p>
                  <w:pPr>
                    <w:pStyle w:val="25"/>
                    <w:widowControl/>
                    <w:adjustRightInd w:val="0"/>
                    <w:snapToGrid w:val="0"/>
                    <w:spacing w:before="0" w:beforeAutospacing="0" w:after="0" w:afterAutospacing="0" w:line="240" w:lineRule="auto"/>
                    <w:jc w:val="center"/>
                    <w:rPr>
                      <w:rFonts w:eastAsia="宋体"/>
                      <w:kern w:val="2"/>
                      <w:sz w:val="21"/>
                      <w:szCs w:val="21"/>
                    </w:rPr>
                  </w:pPr>
                  <w:r>
                    <w:rPr>
                      <w:rFonts w:eastAsia="宋体"/>
                      <w:kern w:val="2"/>
                      <w:sz w:val="21"/>
                      <w:szCs w:val="21"/>
                    </w:rPr>
                    <w:t>项目Q值Σ</w:t>
                  </w:r>
                </w:p>
              </w:tc>
              <w:tc>
                <w:tcPr>
                  <w:tcW w:w="715" w:type="pct"/>
                  <w:vAlign w:val="center"/>
                </w:tcPr>
                <w:p>
                  <w:pPr>
                    <w:widowControl/>
                    <w:spacing w:line="240" w:lineRule="auto"/>
                    <w:jc w:val="center"/>
                    <w:textAlignment w:val="center"/>
                    <w:rPr>
                      <w:rFonts w:hint="default" w:eastAsia="宋体"/>
                      <w:sz w:val="21"/>
                      <w:szCs w:val="21"/>
                      <w:lang w:val="en-US" w:eastAsia="zh-CN"/>
                    </w:rPr>
                  </w:pPr>
                  <w:r>
                    <w:rPr>
                      <w:rFonts w:hint="eastAsia" w:eastAsia="宋体"/>
                      <w:sz w:val="21"/>
                      <w:szCs w:val="21"/>
                      <w:lang w:val="en-US" w:eastAsia="zh-CN"/>
                    </w:rPr>
                    <w:t>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0" w:type="pct"/>
                  <w:gridSpan w:val="6"/>
                  <w:vAlign w:val="center"/>
                </w:tcPr>
                <w:p>
                  <w:pPr>
                    <w:pStyle w:val="25"/>
                    <w:widowControl/>
                    <w:adjustRightInd w:val="0"/>
                    <w:snapToGrid w:val="0"/>
                    <w:spacing w:before="0" w:beforeAutospacing="0" w:after="0" w:afterAutospacing="0" w:line="240" w:lineRule="auto"/>
                    <w:rPr>
                      <w:rFonts w:eastAsia="宋体"/>
                      <w:kern w:val="2"/>
                      <w:sz w:val="21"/>
                      <w:szCs w:val="21"/>
                    </w:rPr>
                  </w:pPr>
                  <w:r>
                    <w:rPr>
                      <w:rFonts w:eastAsia="宋体"/>
                      <w:kern w:val="2"/>
                      <w:sz w:val="21"/>
                      <w:szCs w:val="21"/>
                    </w:rPr>
                    <w:t>*注：危险废物临界量来自《浙江省企业环境风险评估技术指南（修订版）》</w:t>
                  </w:r>
                </w:p>
              </w:tc>
            </w:tr>
          </w:tbl>
          <w:p>
            <w:pPr>
              <w:pStyle w:val="40"/>
              <w:adjustRightInd w:val="0"/>
              <w:snapToGrid w:val="0"/>
              <w:spacing w:line="440" w:lineRule="exact"/>
              <w:rPr>
                <w:rFonts w:eastAsia="宋体"/>
              </w:rPr>
            </w:pPr>
            <w:r>
              <w:rPr>
                <w:rFonts w:hint="eastAsia" w:eastAsia="宋体"/>
              </w:rPr>
              <w:t>综上，本项目涉及的有毒有害和易燃易爆等危险物质Q值</w:t>
            </w:r>
            <w:r>
              <w:rPr>
                <w:rFonts w:hint="eastAsia" w:eastAsia="宋体"/>
                <w:lang w:val="en-US" w:eastAsia="zh-CN"/>
              </w:rPr>
              <w:t>0.192</w:t>
            </w:r>
            <w:r>
              <w:rPr>
                <w:rFonts w:hint="eastAsia" w:eastAsia="宋体"/>
              </w:rPr>
              <w:t>&lt;1，即未超过临界量。</w:t>
            </w:r>
          </w:p>
          <w:p>
            <w:pPr>
              <w:pStyle w:val="40"/>
              <w:jc w:val="left"/>
              <w:rPr>
                <w:rFonts w:eastAsia="宋体"/>
              </w:rPr>
            </w:pPr>
            <w:r>
              <w:rPr>
                <w:rFonts w:hint="eastAsia" w:eastAsia="宋体"/>
              </w:rPr>
              <w:t>（2）环境风险防范措施</w:t>
            </w:r>
          </w:p>
          <w:p>
            <w:pPr>
              <w:pStyle w:val="40"/>
              <w:rPr>
                <w:rFonts w:eastAsia="宋体"/>
              </w:rPr>
            </w:pPr>
            <w:r>
              <w:rPr>
                <w:rFonts w:hint="eastAsia" w:eastAsia="宋体"/>
              </w:rPr>
              <w:t>1）危险品防范措施</w:t>
            </w:r>
          </w:p>
          <w:p>
            <w:pPr>
              <w:pStyle w:val="40"/>
              <w:rPr>
                <w:rFonts w:eastAsia="宋体"/>
              </w:rPr>
            </w:pPr>
            <w:r>
              <w:rPr>
                <w:rFonts w:hint="eastAsia" w:eastAsia="宋体"/>
              </w:rPr>
              <w:t>为了尽量减小危险物品的环境风险，学校制定了实验室危险物品管理制度，具体要求如下：</w:t>
            </w:r>
          </w:p>
          <w:p>
            <w:pPr>
              <w:pStyle w:val="40"/>
              <w:rPr>
                <w:rFonts w:eastAsia="宋体"/>
              </w:rPr>
            </w:pPr>
            <w:r>
              <w:rPr>
                <w:rFonts w:hint="eastAsia" w:eastAsia="宋体"/>
              </w:rPr>
              <w:t>A、危险品必须指定熟悉危险品业务的专人保管，药品库内要配备消防、防盗、通风等防护设施，严禁烟火。做好基础的防渗、防潮、防漏处理。</w:t>
            </w:r>
          </w:p>
          <w:p>
            <w:pPr>
              <w:pStyle w:val="40"/>
              <w:rPr>
                <w:rFonts w:eastAsia="宋体"/>
              </w:rPr>
            </w:pPr>
            <w:r>
              <w:rPr>
                <w:rFonts w:hint="eastAsia" w:eastAsia="宋体"/>
              </w:rPr>
              <w:t>B、要将危险品分隔存放在危险品柜内，存放剧毒药品的专柜要双人双锁保管，禁止实验室内存放食品。</w:t>
            </w:r>
          </w:p>
          <w:p>
            <w:pPr>
              <w:pStyle w:val="40"/>
              <w:rPr>
                <w:rFonts w:eastAsia="宋体"/>
              </w:rPr>
            </w:pPr>
            <w:r>
              <w:rPr>
                <w:rFonts w:hint="eastAsia" w:eastAsia="宋体"/>
              </w:rPr>
              <w:t>C、要严格危险品的领用手续，必须由教师领取签章并负责领出药剂的安全保护工作，防止发生意外，严禁学生代领。</w:t>
            </w:r>
          </w:p>
          <w:p>
            <w:pPr>
              <w:pStyle w:val="40"/>
              <w:rPr>
                <w:rFonts w:eastAsia="宋体"/>
              </w:rPr>
            </w:pPr>
            <w:r>
              <w:rPr>
                <w:rFonts w:hint="eastAsia" w:eastAsia="宋体"/>
              </w:rPr>
              <w:t>D、学生使用危险品实验时，教师应详细指导，并说明危险性。</w:t>
            </w:r>
          </w:p>
          <w:p>
            <w:pPr>
              <w:pStyle w:val="40"/>
              <w:rPr>
                <w:rFonts w:eastAsia="宋体"/>
              </w:rPr>
            </w:pPr>
            <w:r>
              <w:rPr>
                <w:rFonts w:hint="eastAsia" w:eastAsia="宋体"/>
              </w:rPr>
              <w:t>E、使用后剩余的危险品，应立即送还并妥善保管。对废液、残物，要认真按国家有关要求处理。如发现危险品特别是剧毒品被盗，要立即报告校领导，并通知公安部门查处。</w:t>
            </w:r>
          </w:p>
          <w:p>
            <w:pPr>
              <w:pStyle w:val="40"/>
              <w:rPr>
                <w:rFonts w:eastAsia="宋体"/>
              </w:rPr>
            </w:pPr>
            <w:r>
              <w:rPr>
                <w:rFonts w:hint="eastAsia" w:eastAsia="宋体"/>
              </w:rPr>
              <w:t>F、制定严格的防火、防爆制度，加强职工的安全意识，定期对职工进行如何避免火灾发生、安全消防知识教育，组织安全队伍，建立安全监督机制，进行安全考核等。</w:t>
            </w:r>
          </w:p>
          <w:p>
            <w:pPr>
              <w:pStyle w:val="40"/>
              <w:rPr>
                <w:rFonts w:eastAsia="宋体"/>
              </w:rPr>
            </w:pPr>
            <w:r>
              <w:rPr>
                <w:rFonts w:hint="eastAsia" w:eastAsia="宋体"/>
              </w:rPr>
              <w:t>G、对违规操作出现事故的，追究相关人员的责任。</w:t>
            </w:r>
          </w:p>
          <w:p>
            <w:pPr>
              <w:pStyle w:val="40"/>
              <w:rPr>
                <w:rFonts w:eastAsia="宋体"/>
              </w:rPr>
            </w:pPr>
            <w:r>
              <w:rPr>
                <w:rFonts w:hint="eastAsia" w:eastAsia="宋体"/>
              </w:rPr>
              <w:t>2）危险废物环境风险防范措施</w:t>
            </w:r>
          </w:p>
          <w:p>
            <w:pPr>
              <w:pStyle w:val="40"/>
              <w:rPr>
                <w:rFonts w:eastAsia="宋体"/>
              </w:rPr>
            </w:pPr>
            <w:r>
              <w:rPr>
                <w:rFonts w:hint="eastAsia" w:eastAsia="宋体"/>
              </w:rPr>
              <w:t>①应把实验室危险废物管理纳入到日常管理工作，在本项目建成后，根据相关要求制订相关的管理制度，落实危险废物管理的具体责任人，指定专人负责危险废物的统一收集、包装、贮存和转移工作。在危险废物贮存过程应注意以下几点：</w:t>
            </w:r>
          </w:p>
          <w:p>
            <w:pPr>
              <w:pStyle w:val="40"/>
              <w:rPr>
                <w:rFonts w:eastAsia="宋体"/>
              </w:rPr>
            </w:pPr>
            <w:r>
              <w:rPr>
                <w:rFonts w:hint="eastAsia" w:eastAsia="宋体"/>
              </w:rPr>
              <w:t>A、在常温常压下易爆、易燃及排出有毒气体的危险废物必须进行预处理，使之稳定后贮存；</w:t>
            </w:r>
          </w:p>
          <w:p>
            <w:pPr>
              <w:pStyle w:val="40"/>
              <w:rPr>
                <w:rFonts w:eastAsia="宋体"/>
              </w:rPr>
            </w:pPr>
            <w:r>
              <w:rPr>
                <w:rFonts w:hint="eastAsia" w:eastAsia="宋体"/>
              </w:rPr>
              <w:t>B、在常温常压下不水解、不挥发的固体危险废物可在贮存设施内分别堆放；</w:t>
            </w:r>
          </w:p>
          <w:p>
            <w:pPr>
              <w:pStyle w:val="40"/>
              <w:rPr>
                <w:rFonts w:eastAsia="宋体"/>
              </w:rPr>
            </w:pPr>
            <w:r>
              <w:rPr>
                <w:rFonts w:hint="eastAsia" w:eastAsia="宋体"/>
              </w:rPr>
              <w:t>C、装载液体、半固体危险废物的容器内须留足够空间，容器顶部与液体表面之间保留100毫米以上的空间；</w:t>
            </w:r>
          </w:p>
          <w:p>
            <w:pPr>
              <w:pStyle w:val="40"/>
              <w:rPr>
                <w:rFonts w:eastAsia="宋体"/>
              </w:rPr>
            </w:pPr>
            <w:r>
              <w:rPr>
                <w:rFonts w:hint="eastAsia" w:eastAsia="宋体"/>
              </w:rPr>
              <w:t>D、盛装危险废物的容器上必须粘贴符合《危险废物贮存污染控制标准》中所示的标签；</w:t>
            </w:r>
          </w:p>
          <w:p>
            <w:pPr>
              <w:pStyle w:val="40"/>
              <w:rPr>
                <w:rFonts w:eastAsia="宋体"/>
              </w:rPr>
            </w:pPr>
            <w:r>
              <w:rPr>
                <w:rFonts w:hint="eastAsia" w:eastAsia="宋体"/>
              </w:rPr>
              <w:t>E、盛装危险废物的容器必须完好无损且材质和衬里要与危险废物相容（不相互反应）。</w:t>
            </w:r>
          </w:p>
          <w:p>
            <w:pPr>
              <w:pStyle w:val="40"/>
              <w:rPr>
                <w:rFonts w:eastAsia="宋体"/>
              </w:rPr>
            </w:pPr>
            <w:r>
              <w:rPr>
                <w:rFonts w:hint="eastAsia" w:eastAsia="宋体"/>
              </w:rPr>
              <w:t>F、本项目的危化品仓库及危废暂存点布置与实验辅助用房的角落周围，地面与裙脚用坚固、防渗、耐腐蚀的材料建造，建筑材料与危险废物相容，且有泄漏液体收集装置、气体导出口及气体净化装置。</w:t>
            </w:r>
          </w:p>
          <w:p>
            <w:pPr>
              <w:pStyle w:val="40"/>
              <w:rPr>
                <w:rFonts w:eastAsia="宋体"/>
              </w:rPr>
            </w:pPr>
            <w:r>
              <w:rPr>
                <w:rFonts w:hint="eastAsia" w:eastAsia="宋体"/>
              </w:rPr>
              <w:t>②将危险废物按照类别分置于防渗漏、防腐蚀的专用包装物或者密闭的容器内。危险废物专用包装物、容器，有明显的警示标识和警示说明，加强防渗漏、防鼠、防蚊蝇、防蟑螂、防盗以及预防儿童接触等安全措施。定期维护暂时贮存设施、设备，不得露天存放废物废液。</w:t>
            </w:r>
          </w:p>
          <w:p>
            <w:pPr>
              <w:pStyle w:val="40"/>
              <w:rPr>
                <w:rFonts w:eastAsia="宋体"/>
              </w:rPr>
            </w:pPr>
            <w:r>
              <w:rPr>
                <w:rFonts w:hint="eastAsia" w:eastAsia="宋体"/>
              </w:rPr>
              <w:t>③和危险废物处理的专业单位签订处理协议到期终止后要及时续签，确保产生的危险废物能得到及时的无害化处理。</w:t>
            </w:r>
          </w:p>
          <w:p>
            <w:pPr>
              <w:pStyle w:val="40"/>
              <w:rPr>
                <w:rFonts w:eastAsia="宋体"/>
              </w:rPr>
            </w:pPr>
            <w:r>
              <w:rPr>
                <w:rFonts w:hint="eastAsia" w:eastAsia="宋体"/>
              </w:rPr>
              <w:t>④运输危险废物车辆的驾驶员一定要经过专业的培训，运输车辆必须保持安全车速，严禁外来明火，同时还必须有随车人员负责押送，随车人员必须经过专业的培训。</w:t>
            </w:r>
          </w:p>
          <w:p>
            <w:pPr>
              <w:pStyle w:val="40"/>
              <w:rPr>
                <w:rFonts w:eastAsia="宋体"/>
              </w:rPr>
            </w:pPr>
            <w:r>
              <w:rPr>
                <w:rFonts w:hint="eastAsia" w:eastAsia="宋体"/>
              </w:rPr>
              <w:t>（3）建立建设单位、主管部门、当地政府和相关主管部门环境风险应急联动体系。</w:t>
            </w:r>
          </w:p>
          <w:p>
            <w:pPr>
              <w:spacing w:line="440" w:lineRule="exact"/>
              <w:rPr>
                <w:rFonts w:eastAsia="宋体"/>
                <w:b/>
              </w:rPr>
            </w:pPr>
            <w:r>
              <w:rPr>
                <w:rFonts w:hint="eastAsia" w:eastAsia="宋体"/>
                <w:b/>
              </w:rPr>
              <w:t>8、监测计划</w:t>
            </w:r>
          </w:p>
          <w:p>
            <w:pPr>
              <w:pStyle w:val="40"/>
              <w:rPr>
                <w:rFonts w:eastAsia="宋体"/>
              </w:rPr>
            </w:pPr>
            <w:r>
              <w:rPr>
                <w:rFonts w:hint="eastAsia" w:eastAsia="宋体"/>
              </w:rPr>
              <w:t>根据《固定污染源排污许可分类管理名录》（2019年版），本项目属于登记管理类，可不开展自行监测。</w:t>
            </w:r>
          </w:p>
          <w:p>
            <w:pPr>
              <w:pStyle w:val="40"/>
              <w:ind w:firstLine="0" w:firstLineChars="0"/>
              <w:rPr>
                <w:rFonts w:eastAsia="宋体"/>
                <w:b/>
              </w:rPr>
            </w:pPr>
            <w:r>
              <w:rPr>
                <w:rFonts w:hint="eastAsia" w:eastAsia="宋体"/>
                <w:b/>
              </w:rPr>
              <w:t>9、交通噪声对本项目的影响</w:t>
            </w:r>
          </w:p>
          <w:p>
            <w:pPr>
              <w:pStyle w:val="40"/>
              <w:rPr>
                <w:rFonts w:eastAsia="宋体"/>
              </w:rPr>
            </w:pPr>
            <w:r>
              <w:rPr>
                <w:rFonts w:hint="eastAsia" w:eastAsia="宋体"/>
              </w:rPr>
              <w:t>本项目营运期交通噪声主要来自北侧杭甬高速及南侧东西大道。周边道路与本项目敏感建筑物距离情况见表4</w:t>
            </w:r>
            <w:r>
              <w:rPr>
                <w:rFonts w:eastAsia="宋体"/>
              </w:rPr>
              <w:t>-</w:t>
            </w:r>
            <w:r>
              <w:rPr>
                <w:rFonts w:hint="eastAsia" w:eastAsia="宋体"/>
              </w:rPr>
              <w:t>1</w:t>
            </w:r>
            <w:r>
              <w:rPr>
                <w:rFonts w:eastAsia="宋体"/>
              </w:rPr>
              <w:t>8</w:t>
            </w:r>
            <w:r>
              <w:rPr>
                <w:rFonts w:hint="eastAsia" w:eastAsia="宋体"/>
              </w:rPr>
              <w:t>。</w:t>
            </w:r>
          </w:p>
          <w:p>
            <w:pPr>
              <w:pStyle w:val="40"/>
              <w:spacing w:before="156" w:beforeLines="50" w:line="240" w:lineRule="auto"/>
              <w:ind w:firstLine="0" w:firstLineChars="0"/>
              <w:jc w:val="center"/>
              <w:rPr>
                <w:rFonts w:eastAsia="宋体"/>
                <w:b/>
                <w:bCs/>
                <w:sz w:val="21"/>
                <w:szCs w:val="21"/>
              </w:rPr>
            </w:pPr>
            <w:r>
              <w:rPr>
                <w:rFonts w:eastAsia="宋体"/>
                <w:b/>
                <w:bCs/>
                <w:sz w:val="21"/>
                <w:szCs w:val="21"/>
              </w:rPr>
              <w:t>表4</w:t>
            </w:r>
            <w:r>
              <w:rPr>
                <w:rFonts w:hint="eastAsia" w:eastAsia="宋体"/>
                <w:b/>
                <w:bCs/>
                <w:sz w:val="21"/>
                <w:szCs w:val="21"/>
              </w:rPr>
              <w:t>-19</w:t>
            </w:r>
            <w:r>
              <w:rPr>
                <w:rFonts w:eastAsia="宋体"/>
                <w:b/>
                <w:bCs/>
                <w:sz w:val="21"/>
                <w:szCs w:val="21"/>
              </w:rPr>
              <w:t>周边道路及与本项目敏感建筑物设置情况一览表</w:t>
            </w:r>
          </w:p>
          <w:tbl>
            <w:tblPr>
              <w:tblStyle w:val="32"/>
              <w:tblW w:w="48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8"/>
              <w:gridCol w:w="2486"/>
              <w:gridCol w:w="2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531" w:type="dxa"/>
                  <w:vAlign w:val="center"/>
                </w:tcPr>
                <w:p>
                  <w:pPr>
                    <w:pStyle w:val="40"/>
                    <w:spacing w:line="240" w:lineRule="auto"/>
                    <w:ind w:firstLine="0" w:firstLineChars="0"/>
                    <w:jc w:val="center"/>
                    <w:rPr>
                      <w:rFonts w:eastAsia="宋体"/>
                      <w:sz w:val="21"/>
                      <w:szCs w:val="21"/>
                    </w:rPr>
                  </w:pPr>
                  <w:r>
                    <w:rPr>
                      <w:rFonts w:hint="eastAsia" w:eastAsia="宋体"/>
                      <w:sz w:val="21"/>
                      <w:szCs w:val="21"/>
                    </w:rPr>
                    <w:t>道路名称</w:t>
                  </w:r>
                </w:p>
              </w:tc>
              <w:tc>
                <w:tcPr>
                  <w:tcW w:w="2532" w:type="dxa"/>
                  <w:vAlign w:val="center"/>
                </w:tcPr>
                <w:p>
                  <w:pPr>
                    <w:pStyle w:val="40"/>
                    <w:spacing w:line="240" w:lineRule="auto"/>
                    <w:ind w:firstLine="0" w:firstLineChars="0"/>
                    <w:jc w:val="center"/>
                    <w:rPr>
                      <w:rFonts w:eastAsia="宋体"/>
                      <w:sz w:val="21"/>
                      <w:szCs w:val="21"/>
                    </w:rPr>
                  </w:pPr>
                  <w:r>
                    <w:rPr>
                      <w:rFonts w:hint="eastAsia" w:eastAsia="宋体"/>
                      <w:sz w:val="21"/>
                      <w:szCs w:val="21"/>
                    </w:rPr>
                    <w:t>杭甬高速</w:t>
                  </w:r>
                </w:p>
              </w:tc>
              <w:tc>
                <w:tcPr>
                  <w:tcW w:w="2533" w:type="dxa"/>
                  <w:vAlign w:val="center"/>
                </w:tcPr>
                <w:p>
                  <w:pPr>
                    <w:pStyle w:val="40"/>
                    <w:spacing w:line="240" w:lineRule="auto"/>
                    <w:ind w:firstLine="0" w:firstLineChars="0"/>
                    <w:jc w:val="center"/>
                    <w:rPr>
                      <w:rFonts w:eastAsia="宋体"/>
                      <w:sz w:val="21"/>
                      <w:szCs w:val="21"/>
                    </w:rPr>
                  </w:pPr>
                  <w:r>
                    <w:rPr>
                      <w:rFonts w:hint="eastAsia" w:eastAsia="宋体"/>
                      <w:sz w:val="21"/>
                      <w:szCs w:val="21"/>
                    </w:rPr>
                    <w:t>东西大道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531" w:type="dxa"/>
                  <w:vAlign w:val="center"/>
                </w:tcPr>
                <w:p>
                  <w:pPr>
                    <w:pStyle w:val="40"/>
                    <w:spacing w:line="240" w:lineRule="auto"/>
                    <w:ind w:firstLine="0" w:firstLineChars="0"/>
                    <w:jc w:val="center"/>
                    <w:rPr>
                      <w:rFonts w:eastAsia="宋体"/>
                      <w:sz w:val="21"/>
                      <w:szCs w:val="21"/>
                    </w:rPr>
                  </w:pPr>
                  <w:r>
                    <w:rPr>
                      <w:rFonts w:hint="eastAsia" w:eastAsia="宋体"/>
                      <w:sz w:val="21"/>
                      <w:szCs w:val="21"/>
                    </w:rPr>
                    <w:t>相对方位</w:t>
                  </w:r>
                </w:p>
              </w:tc>
              <w:tc>
                <w:tcPr>
                  <w:tcW w:w="2532" w:type="dxa"/>
                  <w:vAlign w:val="center"/>
                </w:tcPr>
                <w:p>
                  <w:pPr>
                    <w:pStyle w:val="40"/>
                    <w:spacing w:line="240" w:lineRule="auto"/>
                    <w:ind w:firstLine="0" w:firstLineChars="0"/>
                    <w:jc w:val="center"/>
                    <w:rPr>
                      <w:rFonts w:eastAsia="宋体"/>
                      <w:sz w:val="21"/>
                      <w:szCs w:val="21"/>
                    </w:rPr>
                  </w:pPr>
                  <w:r>
                    <w:rPr>
                      <w:rFonts w:hint="eastAsia" w:eastAsia="宋体"/>
                      <w:sz w:val="21"/>
                      <w:szCs w:val="21"/>
                    </w:rPr>
                    <w:t>北侧</w:t>
                  </w:r>
                </w:p>
              </w:tc>
              <w:tc>
                <w:tcPr>
                  <w:tcW w:w="2533" w:type="dxa"/>
                  <w:vAlign w:val="center"/>
                </w:tcPr>
                <w:p>
                  <w:pPr>
                    <w:pStyle w:val="40"/>
                    <w:spacing w:line="240" w:lineRule="auto"/>
                    <w:ind w:firstLine="0" w:firstLineChars="0"/>
                    <w:jc w:val="center"/>
                    <w:rPr>
                      <w:rFonts w:eastAsia="宋体"/>
                      <w:sz w:val="21"/>
                      <w:szCs w:val="21"/>
                    </w:rPr>
                  </w:pPr>
                  <w:r>
                    <w:rPr>
                      <w:rFonts w:hint="eastAsia" w:eastAsia="宋体"/>
                      <w:sz w:val="21"/>
                      <w:szCs w:val="21"/>
                    </w:rPr>
                    <w:t>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vAlign w:val="center"/>
                </w:tcPr>
                <w:p>
                  <w:pPr>
                    <w:pStyle w:val="40"/>
                    <w:spacing w:line="240" w:lineRule="auto"/>
                    <w:ind w:firstLine="0" w:firstLineChars="0"/>
                    <w:jc w:val="center"/>
                    <w:rPr>
                      <w:rFonts w:eastAsia="宋体"/>
                      <w:sz w:val="21"/>
                      <w:szCs w:val="21"/>
                    </w:rPr>
                  </w:pPr>
                  <w:r>
                    <w:rPr>
                      <w:rFonts w:hint="eastAsia" w:eastAsia="宋体"/>
                      <w:sz w:val="21"/>
                      <w:szCs w:val="21"/>
                    </w:rPr>
                    <w:t>与教学楼相对距离</w:t>
                  </w:r>
                </w:p>
              </w:tc>
              <w:tc>
                <w:tcPr>
                  <w:tcW w:w="2532" w:type="dxa"/>
                  <w:vAlign w:val="center"/>
                </w:tcPr>
                <w:p>
                  <w:pPr>
                    <w:pStyle w:val="40"/>
                    <w:spacing w:line="240" w:lineRule="auto"/>
                    <w:ind w:firstLine="0" w:firstLineChars="0"/>
                    <w:jc w:val="center"/>
                    <w:rPr>
                      <w:rFonts w:eastAsia="宋体"/>
                      <w:sz w:val="21"/>
                      <w:szCs w:val="21"/>
                    </w:rPr>
                  </w:pPr>
                  <w:r>
                    <w:rPr>
                      <w:rFonts w:hint="eastAsia" w:eastAsia="宋体"/>
                      <w:sz w:val="21"/>
                      <w:szCs w:val="21"/>
                    </w:rPr>
                    <w:t>120m</w:t>
                  </w:r>
                </w:p>
              </w:tc>
              <w:tc>
                <w:tcPr>
                  <w:tcW w:w="2533" w:type="dxa"/>
                  <w:vAlign w:val="center"/>
                </w:tcPr>
                <w:p>
                  <w:pPr>
                    <w:pStyle w:val="40"/>
                    <w:spacing w:line="240" w:lineRule="auto"/>
                    <w:ind w:firstLine="0" w:firstLineChars="0"/>
                    <w:jc w:val="center"/>
                    <w:rPr>
                      <w:rFonts w:eastAsia="宋体"/>
                      <w:sz w:val="21"/>
                      <w:szCs w:val="21"/>
                    </w:rPr>
                  </w:pPr>
                  <w:r>
                    <w:rPr>
                      <w:rFonts w:hint="eastAsia" w:eastAsia="宋体"/>
                      <w:sz w:val="21"/>
                      <w:szCs w:val="21"/>
                    </w:rPr>
                    <w:t>70m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vAlign w:val="center"/>
                </w:tcPr>
                <w:p>
                  <w:pPr>
                    <w:pStyle w:val="40"/>
                    <w:spacing w:line="240" w:lineRule="auto"/>
                    <w:ind w:firstLine="0" w:firstLineChars="0"/>
                    <w:jc w:val="center"/>
                    <w:rPr>
                      <w:rFonts w:eastAsia="宋体"/>
                      <w:sz w:val="21"/>
                      <w:szCs w:val="21"/>
                    </w:rPr>
                  </w:pPr>
                  <w:r>
                    <w:rPr>
                      <w:rFonts w:hint="eastAsia" w:eastAsia="宋体"/>
                      <w:sz w:val="21"/>
                      <w:szCs w:val="21"/>
                    </w:rPr>
                    <w:t>敏感建筑物与道路边界线距离</w:t>
                  </w:r>
                </w:p>
              </w:tc>
              <w:tc>
                <w:tcPr>
                  <w:tcW w:w="2532" w:type="dxa"/>
                  <w:vAlign w:val="center"/>
                </w:tcPr>
                <w:p>
                  <w:pPr>
                    <w:pStyle w:val="40"/>
                    <w:spacing w:line="240" w:lineRule="auto"/>
                    <w:ind w:firstLine="0" w:firstLineChars="0"/>
                    <w:jc w:val="center"/>
                    <w:rPr>
                      <w:rFonts w:eastAsia="宋体"/>
                      <w:sz w:val="21"/>
                      <w:szCs w:val="21"/>
                    </w:rPr>
                  </w:pPr>
                  <w:r>
                    <w:rPr>
                      <w:rFonts w:hint="eastAsia" w:eastAsia="宋体"/>
                      <w:sz w:val="21"/>
                      <w:szCs w:val="21"/>
                    </w:rPr>
                    <w:t>100m</w:t>
                  </w:r>
                </w:p>
              </w:tc>
              <w:tc>
                <w:tcPr>
                  <w:tcW w:w="2533" w:type="dxa"/>
                  <w:vAlign w:val="center"/>
                </w:tcPr>
                <w:p>
                  <w:pPr>
                    <w:pStyle w:val="40"/>
                    <w:spacing w:line="240" w:lineRule="auto"/>
                    <w:ind w:firstLine="0" w:firstLineChars="0"/>
                    <w:jc w:val="center"/>
                    <w:rPr>
                      <w:rFonts w:eastAsia="宋体"/>
                      <w:sz w:val="21"/>
                      <w:szCs w:val="21"/>
                    </w:rPr>
                  </w:pPr>
                  <w:r>
                    <w:rPr>
                      <w:rFonts w:hint="eastAsia" w:eastAsia="宋体"/>
                      <w:sz w:val="21"/>
                      <w:szCs w:val="21"/>
                    </w:rPr>
                    <w:t>42m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vAlign w:val="center"/>
                </w:tcPr>
                <w:p>
                  <w:pPr>
                    <w:pStyle w:val="40"/>
                    <w:spacing w:line="240" w:lineRule="auto"/>
                    <w:ind w:firstLine="0" w:firstLineChars="0"/>
                    <w:jc w:val="center"/>
                    <w:rPr>
                      <w:rFonts w:eastAsia="宋体"/>
                      <w:sz w:val="21"/>
                      <w:szCs w:val="21"/>
                    </w:rPr>
                  </w:pPr>
                  <w:r>
                    <w:rPr>
                      <w:rFonts w:hint="eastAsia" w:eastAsia="宋体"/>
                      <w:sz w:val="21"/>
                      <w:szCs w:val="21"/>
                    </w:rPr>
                    <w:t>临路侧敏感建筑物</w:t>
                  </w:r>
                </w:p>
              </w:tc>
              <w:tc>
                <w:tcPr>
                  <w:tcW w:w="2532" w:type="dxa"/>
                  <w:vAlign w:val="center"/>
                </w:tcPr>
                <w:p>
                  <w:pPr>
                    <w:pStyle w:val="40"/>
                    <w:spacing w:line="240" w:lineRule="auto"/>
                    <w:ind w:firstLine="0" w:firstLineChars="0"/>
                    <w:jc w:val="center"/>
                    <w:rPr>
                      <w:rFonts w:eastAsia="宋体"/>
                      <w:sz w:val="21"/>
                      <w:szCs w:val="21"/>
                    </w:rPr>
                  </w:pPr>
                  <w:r>
                    <w:rPr>
                      <w:rFonts w:hint="eastAsia" w:eastAsia="宋体"/>
                      <w:sz w:val="21"/>
                      <w:szCs w:val="21"/>
                    </w:rPr>
                    <w:t>教学及行政办公楼</w:t>
                  </w:r>
                </w:p>
              </w:tc>
              <w:tc>
                <w:tcPr>
                  <w:tcW w:w="2533" w:type="dxa"/>
                  <w:vAlign w:val="center"/>
                </w:tcPr>
                <w:p>
                  <w:pPr>
                    <w:pStyle w:val="40"/>
                    <w:spacing w:line="240" w:lineRule="auto"/>
                    <w:ind w:firstLine="0" w:firstLineChars="0"/>
                    <w:jc w:val="center"/>
                    <w:rPr>
                      <w:rFonts w:eastAsia="宋体"/>
                      <w:sz w:val="21"/>
                      <w:szCs w:val="21"/>
                    </w:rPr>
                  </w:pPr>
                  <w:r>
                    <w:rPr>
                      <w:rFonts w:hint="eastAsia" w:eastAsia="宋体"/>
                      <w:sz w:val="21"/>
                      <w:szCs w:val="21"/>
                    </w:rPr>
                    <w:t>教学及行政办公楼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vAlign w:val="center"/>
                </w:tcPr>
                <w:p>
                  <w:pPr>
                    <w:pStyle w:val="40"/>
                    <w:spacing w:line="240" w:lineRule="auto"/>
                    <w:ind w:firstLine="0" w:firstLineChars="0"/>
                    <w:jc w:val="center"/>
                    <w:rPr>
                      <w:rFonts w:eastAsia="宋体"/>
                      <w:sz w:val="21"/>
                      <w:szCs w:val="21"/>
                    </w:rPr>
                  </w:pPr>
                  <w:r>
                    <w:rPr>
                      <w:rFonts w:hint="eastAsia" w:eastAsia="宋体"/>
                      <w:sz w:val="21"/>
                      <w:szCs w:val="21"/>
                    </w:rPr>
                    <w:t>执行声环境标准</w:t>
                  </w:r>
                </w:p>
              </w:tc>
              <w:tc>
                <w:tcPr>
                  <w:tcW w:w="2532" w:type="dxa"/>
                  <w:vAlign w:val="center"/>
                </w:tcPr>
                <w:p>
                  <w:pPr>
                    <w:pStyle w:val="40"/>
                    <w:spacing w:line="240" w:lineRule="auto"/>
                    <w:ind w:firstLine="0" w:firstLineChars="0"/>
                    <w:jc w:val="center"/>
                    <w:rPr>
                      <w:rFonts w:eastAsia="宋体"/>
                      <w:sz w:val="21"/>
                      <w:szCs w:val="21"/>
                    </w:rPr>
                  </w:pPr>
                  <w:r>
                    <w:rPr>
                      <w:rFonts w:hint="eastAsia" w:eastAsia="宋体"/>
                      <w:sz w:val="21"/>
                      <w:szCs w:val="21"/>
                    </w:rPr>
                    <w:t>2类</w:t>
                  </w:r>
                </w:p>
              </w:tc>
              <w:tc>
                <w:tcPr>
                  <w:tcW w:w="2533" w:type="dxa"/>
                  <w:vAlign w:val="center"/>
                </w:tcPr>
                <w:p>
                  <w:pPr>
                    <w:pStyle w:val="40"/>
                    <w:spacing w:line="240" w:lineRule="auto"/>
                    <w:ind w:firstLine="0" w:firstLineChars="0"/>
                    <w:jc w:val="center"/>
                    <w:rPr>
                      <w:rFonts w:eastAsia="宋体"/>
                      <w:sz w:val="21"/>
                      <w:szCs w:val="21"/>
                    </w:rPr>
                  </w:pPr>
                  <w:r>
                    <w:rPr>
                      <w:rFonts w:hint="eastAsia" w:eastAsia="宋体"/>
                      <w:sz w:val="21"/>
                      <w:szCs w:val="21"/>
                    </w:rPr>
                    <w:t>2类</w:t>
                  </w:r>
                </w:p>
              </w:tc>
            </w:tr>
          </w:tbl>
          <w:p>
            <w:pPr>
              <w:pStyle w:val="40"/>
              <w:rPr>
                <w:rFonts w:eastAsia="宋体"/>
              </w:rPr>
            </w:pPr>
            <w:r>
              <w:rPr>
                <w:rFonts w:hint="eastAsia" w:eastAsia="宋体"/>
              </w:rPr>
              <w:t>北侧杭甬高速及南侧东西大道目前均已通车，根据《杭广测检2023（HJ）字第23073561号》检测报告，检测时间为2023年7月28日，北侧与杭甬高速的相邻场界噪声Z4监测点昼间50dB，南侧与东西大道相邻场界Z2监测点昼间噪声检测值46dB，均达到《声环境质量标准》（GB3096-2008）中的2类标准限值，对本项目影响较小。学校周边交通情况图见附图9。</w:t>
            </w:r>
          </w:p>
          <w:p>
            <w:pPr>
              <w:pStyle w:val="40"/>
              <w:rPr>
                <w:rFonts w:eastAsia="宋体"/>
              </w:rPr>
            </w:pPr>
            <w:r>
              <w:rPr>
                <w:rFonts w:hint="eastAsia" w:eastAsia="宋体"/>
              </w:rPr>
              <w:t>为减少周边交通噪声对本项目敏感楼层的影响，本环评建议采取以下措施：</w:t>
            </w:r>
          </w:p>
          <w:p>
            <w:pPr>
              <w:pStyle w:val="40"/>
              <w:rPr>
                <w:rFonts w:hint="default" w:eastAsia="宋体"/>
              </w:rPr>
            </w:pPr>
            <w:r>
              <w:rPr>
                <w:rFonts w:eastAsia="宋体"/>
              </w:rPr>
              <w:fldChar w:fldCharType="begin"/>
            </w:r>
            <w:r>
              <w:rPr>
                <w:rFonts w:eastAsia="宋体"/>
              </w:rPr>
              <w:instrText xml:space="preserve"> </w:instrText>
            </w:r>
            <w:r>
              <w:rPr>
                <w:rFonts w:hint="eastAsia" w:eastAsia="宋体"/>
              </w:rPr>
              <w:instrText xml:space="preserve">= 1 \* GB3</w:instrText>
            </w:r>
            <w:r>
              <w:rPr>
                <w:rFonts w:eastAsia="宋体"/>
              </w:rPr>
              <w:instrText xml:space="preserve"> </w:instrText>
            </w:r>
            <w:r>
              <w:rPr>
                <w:rFonts w:eastAsia="宋体"/>
              </w:rPr>
              <w:fldChar w:fldCharType="separate"/>
            </w:r>
            <w:r>
              <w:rPr>
                <w:rFonts w:hint="eastAsia" w:eastAsia="宋体"/>
              </w:rPr>
              <w:t>①</w:t>
            </w:r>
            <w:r>
              <w:rPr>
                <w:rFonts w:eastAsia="宋体"/>
              </w:rPr>
              <w:fldChar w:fldCharType="end"/>
            </w:r>
            <w:r>
              <w:rPr>
                <w:rFonts w:hint="eastAsia" w:eastAsia="宋体"/>
              </w:rPr>
              <w:t>根据《建筑环境通用规范》（GB55016-2021）中表2.1.3的规定，教学昼夜噪声限值40dB（A），结合现状检测数据（昼间46~50dB（A）），教学楼需安装的隔声窗隔声量应＞10dB（A），根据《环境噪声控制工程》、《环境工程手册-环境噪声控制卷》，4mm厚玻璃双层窗最低隔声量为28.8dB，</w:t>
            </w:r>
            <w:r>
              <w:rPr>
                <w:rFonts w:hint="default" w:eastAsia="宋体"/>
              </w:rPr>
              <w:t>根据设计资料，本项目窗户采用双层中空玻璃窗（6mm），可以有效阻隔交通噪声，在此基础上校内建筑物室内声环境质量能够满足《建筑环境通用规范》（GB55016-2021）中表2.1.3的规定及《民用建筑隔声设计规范》（GB50118-2010）表5.1.1的规定。</w:t>
            </w:r>
          </w:p>
          <w:p>
            <w:pPr>
              <w:pStyle w:val="40"/>
              <w:rPr>
                <w:rFonts w:hint="default" w:eastAsia="宋体"/>
              </w:rPr>
            </w:pPr>
            <w:r>
              <w:rPr>
                <w:rFonts w:hint="default" w:eastAsia="宋体"/>
              </w:rPr>
              <w:fldChar w:fldCharType="begin"/>
            </w:r>
            <w:r>
              <w:rPr>
                <w:rFonts w:hint="default" w:eastAsia="宋体"/>
              </w:rPr>
              <w:instrText xml:space="preserve"> = 2 \* GB3 </w:instrText>
            </w:r>
            <w:r>
              <w:rPr>
                <w:rFonts w:hint="default" w:eastAsia="宋体"/>
              </w:rPr>
              <w:fldChar w:fldCharType="separate"/>
            </w:r>
            <w:r>
              <w:rPr>
                <w:rFonts w:hint="default" w:eastAsia="宋体"/>
              </w:rPr>
              <w:t>②</w:t>
            </w:r>
            <w:r>
              <w:rPr>
                <w:rFonts w:hint="default" w:eastAsia="宋体"/>
              </w:rPr>
              <w:fldChar w:fldCharType="end"/>
            </w:r>
            <w:r>
              <w:rPr>
                <w:rFonts w:hint="default" w:eastAsia="宋体"/>
              </w:rPr>
              <w:t>为确保校内建筑物噪声能够达到相应的声环境要求，建议建设单位提高建筑墙体的隔声效果，采用隔声效果优的建筑材料。同时临路侧边界采用混合植绿法，既可以美化环境亦可以作为绿色生态隔声屏障。</w:t>
            </w:r>
          </w:p>
          <w:p>
            <w:pPr>
              <w:pStyle w:val="40"/>
              <w:rPr>
                <w:rFonts w:hint="default" w:eastAsia="宋体"/>
              </w:rPr>
            </w:pPr>
            <w:r>
              <w:rPr>
                <w:rFonts w:hint="default" w:eastAsia="宋体"/>
              </w:rPr>
              <w:fldChar w:fldCharType="begin"/>
            </w:r>
            <w:r>
              <w:rPr>
                <w:rFonts w:hint="default" w:eastAsia="宋体"/>
              </w:rPr>
              <w:instrText xml:space="preserve"> = 3 \* GB3 </w:instrText>
            </w:r>
            <w:r>
              <w:rPr>
                <w:rFonts w:hint="default" w:eastAsia="宋体"/>
              </w:rPr>
              <w:fldChar w:fldCharType="separate"/>
            </w:r>
            <w:r>
              <w:rPr>
                <w:rFonts w:hint="default" w:eastAsia="宋体"/>
              </w:rPr>
              <w:t>③</w:t>
            </w:r>
            <w:r>
              <w:rPr>
                <w:rFonts w:hint="default" w:eastAsia="宋体"/>
              </w:rPr>
              <w:fldChar w:fldCharType="end"/>
            </w:r>
            <w:r>
              <w:rPr>
                <w:rFonts w:hint="default" w:eastAsia="宋体"/>
              </w:rPr>
              <w:t>建议道路交通管理部门在可能影响的道路路段，加强交通管制，采取限速限鸣、控制车速等措施，同时加强路面的维护，减缓交通噪声对本项目的影响。</w:t>
            </w:r>
          </w:p>
          <w:p>
            <w:pPr>
              <w:pStyle w:val="40"/>
              <w:rPr>
                <w:rFonts w:hint="default" w:eastAsia="宋体"/>
              </w:rPr>
            </w:pPr>
            <w:r>
              <w:rPr>
                <w:rFonts w:hint="default" w:eastAsia="宋体"/>
              </w:rPr>
              <w:t>在严格采取本环评提出的各项降噪措施后，项目周边道路交通噪声对本项目噪声影响将得到有效缓解，可确保学校室内噪声达标。</w:t>
            </w:r>
          </w:p>
          <w:p>
            <w:pPr>
              <w:pStyle w:val="40"/>
              <w:ind w:firstLine="0" w:firstLineChars="0"/>
              <w:rPr>
                <w:rFonts w:hint="default" w:eastAsia="宋体"/>
                <w:b/>
              </w:rPr>
            </w:pPr>
            <w:r>
              <w:rPr>
                <w:rFonts w:hint="default" w:eastAsia="宋体"/>
                <w:b/>
              </w:rPr>
              <w:t>10、周边企业对本项目的影响</w:t>
            </w:r>
          </w:p>
          <w:p>
            <w:pPr>
              <w:pStyle w:val="40"/>
              <w:rPr>
                <w:rFonts w:eastAsia="宋体"/>
              </w:rPr>
            </w:pPr>
            <w:r>
              <w:rPr>
                <w:rFonts w:hint="default" w:eastAsia="宋体"/>
              </w:rPr>
              <w:t>本项目周边</w:t>
            </w:r>
            <w:r>
              <w:rPr>
                <w:rStyle w:val="33"/>
                <w:rFonts w:hint="default" w:ascii="Times New Roman" w:hAnsi="Times New Roman" w:eastAsia="宋体" w:cs="Times New Roman"/>
                <w:lang w:val="en-US" w:eastAsia="zh-CN"/>
              </w:rPr>
              <w:t>500m范围内</w:t>
            </w:r>
            <w:r>
              <w:rPr>
                <w:rFonts w:hint="default" w:eastAsia="宋体"/>
              </w:rPr>
              <w:t>无大型工业企业和污染较大企业，不存在工业企业影响本项目情况。</w:t>
            </w:r>
          </w:p>
        </w:tc>
      </w:tr>
    </w:tbl>
    <w:p>
      <w:pPr>
        <w:pStyle w:val="16"/>
        <w:jc w:val="center"/>
        <w:rPr>
          <w:rFonts w:ascii="Times New Roman" w:hAnsi="Times New Roman" w:eastAsia="宋体" w:cs="Times New Roman"/>
        </w:rPr>
        <w:sectPr>
          <w:pgSz w:w="11906" w:h="16838"/>
          <w:pgMar w:top="1440" w:right="1800" w:bottom="1440" w:left="1800" w:header="851" w:footer="992" w:gutter="0"/>
          <w:pgNumType w:fmt="decimal"/>
          <w:cols w:space="425" w:num="1"/>
          <w:docGrid w:type="lines" w:linePitch="312" w:charSpace="0"/>
        </w:sectPr>
      </w:pPr>
    </w:p>
    <w:p>
      <w:pPr>
        <w:pStyle w:val="16"/>
        <w:numPr>
          <w:ilvl w:val="0"/>
          <w:numId w:val="5"/>
        </w:numPr>
        <w:ind w:left="482" w:hanging="482"/>
        <w:jc w:val="center"/>
        <w:outlineLvl w:val="0"/>
        <w:rPr>
          <w:rFonts w:ascii="Times New Roman" w:hAnsi="Times New Roman" w:eastAsia="宋体" w:cs="Times New Roman"/>
          <w:b/>
        </w:rPr>
      </w:pPr>
      <w:bookmarkStart w:id="11" w:name="_Toc140406081"/>
      <w:r>
        <w:rPr>
          <w:rFonts w:hint="eastAsia" w:ascii="Times New Roman" w:hAnsi="Times New Roman" w:eastAsia="宋体" w:cs="Times New Roman"/>
          <w:b/>
        </w:rPr>
        <w:t>环境保护措施监督检查清单</w:t>
      </w:r>
      <w:bookmarkEnd w:id="11"/>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86"/>
        <w:gridCol w:w="1098"/>
        <w:gridCol w:w="1065"/>
        <w:gridCol w:w="2631"/>
        <w:gridCol w:w="2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9" w:hRule="atLeast"/>
          <w:jc w:val="center"/>
        </w:trPr>
        <w:tc>
          <w:tcPr>
            <w:tcW w:w="1187" w:type="dxa"/>
            <w:vAlign w:val="center"/>
          </w:tcPr>
          <w:p>
            <w:pPr>
              <w:pStyle w:val="40"/>
              <w:adjustRightInd w:val="0"/>
              <w:snapToGrid w:val="0"/>
              <w:spacing w:line="276" w:lineRule="auto"/>
              <w:ind w:firstLine="0" w:firstLineChars="0"/>
              <w:jc w:val="center"/>
              <w:rPr>
                <w:rFonts w:eastAsia="宋体"/>
                <w:sz w:val="21"/>
                <w:szCs w:val="21"/>
              </w:rPr>
            </w:pPr>
            <w:r>
              <w:rPr>
                <w:rFonts w:eastAsia="宋体"/>
                <w:sz w:val="21"/>
                <w:szCs w:val="21"/>
              </w:rPr>
              <w:t>要素内容</w:t>
            </w:r>
          </w:p>
        </w:tc>
        <w:tc>
          <w:tcPr>
            <w:tcW w:w="1098" w:type="dxa"/>
            <w:vAlign w:val="center"/>
          </w:tcPr>
          <w:p>
            <w:pPr>
              <w:pStyle w:val="40"/>
              <w:adjustRightInd w:val="0"/>
              <w:snapToGrid w:val="0"/>
              <w:spacing w:line="276" w:lineRule="auto"/>
              <w:ind w:firstLine="0" w:firstLineChars="0"/>
              <w:jc w:val="center"/>
              <w:rPr>
                <w:rFonts w:eastAsia="宋体"/>
                <w:sz w:val="21"/>
                <w:szCs w:val="21"/>
              </w:rPr>
            </w:pPr>
            <w:r>
              <w:rPr>
                <w:rFonts w:eastAsia="宋体"/>
                <w:sz w:val="21"/>
                <w:szCs w:val="21"/>
              </w:rPr>
              <w:t>排放口</w:t>
            </w:r>
          </w:p>
          <w:p>
            <w:pPr>
              <w:pStyle w:val="40"/>
              <w:adjustRightInd w:val="0"/>
              <w:snapToGrid w:val="0"/>
              <w:spacing w:line="276" w:lineRule="auto"/>
              <w:ind w:firstLine="0" w:firstLineChars="0"/>
              <w:jc w:val="center"/>
              <w:rPr>
                <w:rFonts w:eastAsia="宋体"/>
                <w:sz w:val="21"/>
                <w:szCs w:val="21"/>
              </w:rPr>
            </w:pPr>
            <w:r>
              <w:rPr>
                <w:rFonts w:eastAsia="宋体"/>
                <w:sz w:val="21"/>
                <w:szCs w:val="21"/>
              </w:rPr>
              <w:t>（编号、名称）/污染源</w:t>
            </w:r>
          </w:p>
        </w:tc>
        <w:tc>
          <w:tcPr>
            <w:tcW w:w="1065" w:type="dxa"/>
            <w:vAlign w:val="center"/>
          </w:tcPr>
          <w:p>
            <w:pPr>
              <w:pStyle w:val="40"/>
              <w:adjustRightInd w:val="0"/>
              <w:snapToGrid w:val="0"/>
              <w:spacing w:line="276" w:lineRule="auto"/>
              <w:ind w:firstLine="0" w:firstLineChars="0"/>
              <w:jc w:val="center"/>
              <w:rPr>
                <w:rFonts w:eastAsia="宋体"/>
                <w:sz w:val="21"/>
                <w:szCs w:val="21"/>
              </w:rPr>
            </w:pPr>
            <w:r>
              <w:rPr>
                <w:rFonts w:eastAsia="宋体"/>
                <w:sz w:val="21"/>
                <w:szCs w:val="21"/>
              </w:rPr>
              <w:t>污染物</w:t>
            </w:r>
          </w:p>
          <w:p>
            <w:pPr>
              <w:pStyle w:val="40"/>
              <w:adjustRightInd w:val="0"/>
              <w:snapToGrid w:val="0"/>
              <w:spacing w:line="276" w:lineRule="auto"/>
              <w:ind w:firstLine="0" w:firstLineChars="0"/>
              <w:jc w:val="center"/>
              <w:rPr>
                <w:rFonts w:eastAsia="宋体"/>
                <w:sz w:val="21"/>
                <w:szCs w:val="21"/>
              </w:rPr>
            </w:pPr>
            <w:r>
              <w:rPr>
                <w:rFonts w:eastAsia="宋体"/>
                <w:sz w:val="21"/>
                <w:szCs w:val="21"/>
              </w:rPr>
              <w:t>项目</w:t>
            </w:r>
          </w:p>
        </w:tc>
        <w:tc>
          <w:tcPr>
            <w:tcW w:w="2631" w:type="dxa"/>
            <w:vAlign w:val="center"/>
          </w:tcPr>
          <w:p>
            <w:pPr>
              <w:pStyle w:val="40"/>
              <w:adjustRightInd w:val="0"/>
              <w:snapToGrid w:val="0"/>
              <w:spacing w:line="276" w:lineRule="auto"/>
              <w:ind w:firstLine="0" w:firstLineChars="0"/>
              <w:jc w:val="center"/>
              <w:rPr>
                <w:rFonts w:eastAsia="宋体"/>
                <w:sz w:val="21"/>
                <w:szCs w:val="21"/>
              </w:rPr>
            </w:pPr>
            <w:r>
              <w:rPr>
                <w:rFonts w:eastAsia="宋体"/>
                <w:sz w:val="21"/>
                <w:szCs w:val="21"/>
              </w:rPr>
              <w:t>环境保护措施</w:t>
            </w:r>
          </w:p>
        </w:tc>
        <w:tc>
          <w:tcPr>
            <w:tcW w:w="2379" w:type="dxa"/>
            <w:vAlign w:val="center"/>
          </w:tcPr>
          <w:p>
            <w:pPr>
              <w:pStyle w:val="40"/>
              <w:adjustRightInd w:val="0"/>
              <w:snapToGrid w:val="0"/>
              <w:spacing w:line="276" w:lineRule="auto"/>
              <w:ind w:firstLine="0" w:firstLineChars="0"/>
              <w:jc w:val="center"/>
              <w:rPr>
                <w:rFonts w:eastAsia="宋体"/>
                <w:sz w:val="21"/>
                <w:szCs w:val="21"/>
              </w:rPr>
            </w:pPr>
            <w:r>
              <w:rPr>
                <w:rFonts w:eastAsia="宋体"/>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87" w:type="dxa"/>
            <w:vMerge w:val="restart"/>
            <w:vAlign w:val="center"/>
          </w:tcPr>
          <w:p>
            <w:pPr>
              <w:pStyle w:val="40"/>
              <w:adjustRightInd w:val="0"/>
              <w:snapToGrid w:val="0"/>
              <w:spacing w:line="276" w:lineRule="auto"/>
              <w:ind w:firstLine="0" w:firstLineChars="0"/>
              <w:jc w:val="center"/>
              <w:rPr>
                <w:rFonts w:eastAsia="宋体"/>
                <w:sz w:val="21"/>
                <w:szCs w:val="21"/>
              </w:rPr>
            </w:pPr>
            <w:r>
              <w:rPr>
                <w:rFonts w:eastAsia="宋体"/>
                <w:sz w:val="21"/>
                <w:szCs w:val="21"/>
              </w:rPr>
              <w:t>大气环境</w:t>
            </w:r>
          </w:p>
        </w:tc>
        <w:tc>
          <w:tcPr>
            <w:tcW w:w="1098" w:type="dxa"/>
            <w:vAlign w:val="center"/>
          </w:tcPr>
          <w:p>
            <w:pPr>
              <w:pStyle w:val="40"/>
              <w:adjustRightInd w:val="0"/>
              <w:snapToGrid w:val="0"/>
              <w:spacing w:line="276" w:lineRule="auto"/>
              <w:ind w:firstLine="0" w:firstLineChars="0"/>
              <w:jc w:val="center"/>
              <w:rPr>
                <w:rFonts w:eastAsia="宋体"/>
                <w:sz w:val="21"/>
                <w:szCs w:val="21"/>
              </w:rPr>
            </w:pPr>
            <w:r>
              <w:rPr>
                <w:rFonts w:hint="eastAsia" w:eastAsia="宋体"/>
                <w:sz w:val="21"/>
                <w:szCs w:val="21"/>
              </w:rPr>
              <w:t>汽车尾气排放口</w:t>
            </w:r>
          </w:p>
        </w:tc>
        <w:tc>
          <w:tcPr>
            <w:tcW w:w="1065" w:type="dxa"/>
            <w:vAlign w:val="center"/>
          </w:tcPr>
          <w:p>
            <w:pPr>
              <w:pStyle w:val="40"/>
              <w:adjustRightInd w:val="0"/>
              <w:snapToGrid w:val="0"/>
              <w:spacing w:line="276" w:lineRule="auto"/>
              <w:ind w:firstLine="0" w:firstLineChars="0"/>
              <w:jc w:val="center"/>
              <w:rPr>
                <w:rFonts w:eastAsia="宋体"/>
                <w:sz w:val="21"/>
                <w:szCs w:val="21"/>
              </w:rPr>
            </w:pPr>
            <w:r>
              <w:rPr>
                <w:rFonts w:hint="eastAsia" w:eastAsia="宋体"/>
                <w:sz w:val="21"/>
                <w:szCs w:val="21"/>
              </w:rPr>
              <w:t>C</w:t>
            </w:r>
            <w:r>
              <w:rPr>
                <w:rFonts w:eastAsia="宋体"/>
                <w:sz w:val="21"/>
                <w:szCs w:val="21"/>
              </w:rPr>
              <w:t>O</w:t>
            </w:r>
            <w:r>
              <w:rPr>
                <w:rFonts w:hint="eastAsia" w:eastAsia="宋体"/>
                <w:sz w:val="21"/>
                <w:szCs w:val="21"/>
              </w:rPr>
              <w:t>、</w:t>
            </w:r>
            <w:r>
              <w:rPr>
                <w:rFonts w:eastAsia="宋体"/>
                <w:sz w:val="21"/>
                <w:szCs w:val="21"/>
              </w:rPr>
              <w:t>HC</w:t>
            </w:r>
            <w:r>
              <w:rPr>
                <w:rFonts w:hint="eastAsia" w:eastAsia="宋体"/>
                <w:sz w:val="21"/>
                <w:szCs w:val="21"/>
              </w:rPr>
              <w:t>、</w:t>
            </w:r>
            <w:r>
              <w:rPr>
                <w:rFonts w:eastAsia="宋体"/>
                <w:sz w:val="21"/>
                <w:szCs w:val="21"/>
              </w:rPr>
              <w:t>NO</w:t>
            </w:r>
            <w:r>
              <w:rPr>
                <w:rFonts w:eastAsia="宋体"/>
                <w:sz w:val="21"/>
                <w:szCs w:val="21"/>
                <w:vertAlign w:val="subscript"/>
              </w:rPr>
              <w:t>X</w:t>
            </w:r>
          </w:p>
        </w:tc>
        <w:tc>
          <w:tcPr>
            <w:tcW w:w="2631" w:type="dxa"/>
            <w:vAlign w:val="center"/>
          </w:tcPr>
          <w:p>
            <w:pPr>
              <w:pStyle w:val="40"/>
              <w:adjustRightInd w:val="0"/>
              <w:snapToGrid w:val="0"/>
              <w:spacing w:line="276" w:lineRule="auto"/>
              <w:ind w:firstLine="0" w:firstLineChars="0"/>
              <w:rPr>
                <w:rFonts w:eastAsia="宋体"/>
                <w:sz w:val="21"/>
                <w:szCs w:val="21"/>
              </w:rPr>
            </w:pPr>
            <w:r>
              <w:rPr>
                <w:rFonts w:hint="eastAsia" w:eastAsia="宋体"/>
                <w:sz w:val="21"/>
                <w:szCs w:val="21"/>
              </w:rPr>
              <w:t>机械通风，经风机抽吸后通过附壁竖井引至地面排放</w:t>
            </w:r>
          </w:p>
        </w:tc>
        <w:tc>
          <w:tcPr>
            <w:tcW w:w="2379" w:type="dxa"/>
            <w:vAlign w:val="center"/>
          </w:tcPr>
          <w:p>
            <w:pPr>
              <w:pStyle w:val="40"/>
              <w:adjustRightInd w:val="0"/>
              <w:snapToGrid w:val="0"/>
              <w:spacing w:line="276" w:lineRule="auto"/>
              <w:ind w:firstLine="0" w:firstLineChars="0"/>
              <w:jc w:val="center"/>
              <w:rPr>
                <w:rFonts w:eastAsia="宋体"/>
                <w:sz w:val="21"/>
                <w:szCs w:val="21"/>
              </w:rPr>
            </w:pPr>
            <w:r>
              <w:rPr>
                <w:rFonts w:hint="eastAsia" w:eastAsia="宋体"/>
                <w:sz w:val="21"/>
                <w:szCs w:val="21"/>
              </w:rPr>
              <w:t>达到《大气污染物综合排放标准》（GB16297-1996）中新污染源大气污染物排放限值二级标准要求及其他相关标准要求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60" w:hRule="atLeast"/>
          <w:jc w:val="center"/>
        </w:trPr>
        <w:tc>
          <w:tcPr>
            <w:tcW w:w="1187" w:type="dxa"/>
            <w:vMerge w:val="continue"/>
            <w:vAlign w:val="center"/>
          </w:tcPr>
          <w:p>
            <w:pPr>
              <w:pStyle w:val="40"/>
              <w:adjustRightInd w:val="0"/>
              <w:snapToGrid w:val="0"/>
              <w:spacing w:line="276" w:lineRule="auto"/>
              <w:ind w:firstLine="0" w:firstLineChars="0"/>
              <w:jc w:val="center"/>
              <w:rPr>
                <w:rFonts w:eastAsia="宋体"/>
                <w:sz w:val="21"/>
                <w:szCs w:val="21"/>
              </w:rPr>
            </w:pPr>
          </w:p>
        </w:tc>
        <w:tc>
          <w:tcPr>
            <w:tcW w:w="1098" w:type="dxa"/>
            <w:vAlign w:val="center"/>
          </w:tcPr>
          <w:p>
            <w:pPr>
              <w:pStyle w:val="40"/>
              <w:adjustRightInd w:val="0"/>
              <w:snapToGrid w:val="0"/>
              <w:spacing w:line="276" w:lineRule="auto"/>
              <w:ind w:firstLine="0" w:firstLineChars="0"/>
              <w:jc w:val="center"/>
              <w:rPr>
                <w:rFonts w:eastAsia="宋体"/>
                <w:sz w:val="21"/>
                <w:szCs w:val="21"/>
              </w:rPr>
            </w:pPr>
            <w:r>
              <w:rPr>
                <w:rFonts w:hint="eastAsia" w:eastAsia="宋体"/>
                <w:sz w:val="21"/>
                <w:szCs w:val="21"/>
              </w:rPr>
              <w:t>食堂</w:t>
            </w:r>
          </w:p>
          <w:p>
            <w:pPr>
              <w:pStyle w:val="40"/>
              <w:adjustRightInd w:val="0"/>
              <w:snapToGrid w:val="0"/>
              <w:spacing w:line="276" w:lineRule="auto"/>
              <w:ind w:firstLine="0" w:firstLineChars="0"/>
              <w:jc w:val="center"/>
              <w:rPr>
                <w:rFonts w:eastAsia="宋体"/>
                <w:sz w:val="21"/>
                <w:szCs w:val="21"/>
              </w:rPr>
            </w:pPr>
            <w:r>
              <w:rPr>
                <w:rFonts w:hint="eastAsia" w:eastAsia="宋体"/>
                <w:sz w:val="21"/>
                <w:szCs w:val="21"/>
              </w:rPr>
              <w:t>（D</w:t>
            </w:r>
            <w:r>
              <w:rPr>
                <w:rFonts w:eastAsia="宋体"/>
                <w:sz w:val="21"/>
                <w:szCs w:val="21"/>
              </w:rPr>
              <w:t>A001</w:t>
            </w:r>
            <w:r>
              <w:rPr>
                <w:rFonts w:hint="eastAsia" w:eastAsia="宋体"/>
                <w:sz w:val="21"/>
                <w:szCs w:val="21"/>
              </w:rPr>
              <w:t>）</w:t>
            </w:r>
          </w:p>
        </w:tc>
        <w:tc>
          <w:tcPr>
            <w:tcW w:w="1065" w:type="dxa"/>
            <w:vAlign w:val="center"/>
          </w:tcPr>
          <w:p>
            <w:pPr>
              <w:pStyle w:val="40"/>
              <w:adjustRightInd w:val="0"/>
              <w:snapToGrid w:val="0"/>
              <w:spacing w:line="276" w:lineRule="auto"/>
              <w:ind w:firstLine="0" w:firstLineChars="0"/>
              <w:jc w:val="center"/>
              <w:rPr>
                <w:rFonts w:eastAsia="宋体"/>
                <w:sz w:val="21"/>
                <w:szCs w:val="21"/>
              </w:rPr>
            </w:pPr>
            <w:r>
              <w:rPr>
                <w:rFonts w:hint="eastAsia" w:eastAsia="宋体"/>
                <w:sz w:val="21"/>
                <w:szCs w:val="21"/>
              </w:rPr>
              <w:t>油烟</w:t>
            </w:r>
          </w:p>
        </w:tc>
        <w:tc>
          <w:tcPr>
            <w:tcW w:w="2631" w:type="dxa"/>
            <w:vAlign w:val="center"/>
          </w:tcPr>
          <w:p>
            <w:pPr>
              <w:pStyle w:val="40"/>
              <w:adjustRightInd w:val="0"/>
              <w:snapToGrid w:val="0"/>
              <w:spacing w:line="276" w:lineRule="auto"/>
              <w:ind w:firstLine="0" w:firstLineChars="0"/>
              <w:rPr>
                <w:rFonts w:eastAsia="宋体"/>
                <w:sz w:val="21"/>
                <w:szCs w:val="21"/>
              </w:rPr>
            </w:pPr>
            <w:r>
              <w:rPr>
                <w:rFonts w:hint="eastAsia" w:eastAsia="宋体"/>
                <w:sz w:val="21"/>
                <w:szCs w:val="21"/>
              </w:rPr>
              <w:t>油烟废气经油烟净化器处理后引至屋顶排放</w:t>
            </w:r>
          </w:p>
        </w:tc>
        <w:tc>
          <w:tcPr>
            <w:tcW w:w="2379" w:type="dxa"/>
            <w:vAlign w:val="center"/>
          </w:tcPr>
          <w:p>
            <w:pPr>
              <w:pStyle w:val="40"/>
              <w:adjustRightInd w:val="0"/>
              <w:snapToGrid w:val="0"/>
              <w:spacing w:line="276" w:lineRule="auto"/>
              <w:ind w:firstLine="0" w:firstLineChars="0"/>
              <w:jc w:val="center"/>
              <w:rPr>
                <w:rFonts w:eastAsia="宋体"/>
                <w:sz w:val="21"/>
                <w:szCs w:val="21"/>
              </w:rPr>
            </w:pPr>
            <w:r>
              <w:rPr>
                <w:rFonts w:hint="eastAsia" w:eastAsia="宋体"/>
                <w:sz w:val="21"/>
                <w:szCs w:val="21"/>
              </w:rPr>
              <w:t>达到《饮食业油烟排放标准》（GB18483-2001）大型标准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87" w:type="dxa"/>
            <w:vMerge w:val="continue"/>
            <w:vAlign w:val="center"/>
          </w:tcPr>
          <w:p>
            <w:pPr>
              <w:pStyle w:val="40"/>
              <w:adjustRightInd w:val="0"/>
              <w:snapToGrid w:val="0"/>
              <w:spacing w:line="276" w:lineRule="auto"/>
              <w:ind w:firstLine="0" w:firstLineChars="0"/>
              <w:jc w:val="center"/>
              <w:rPr>
                <w:rFonts w:eastAsia="宋体"/>
                <w:sz w:val="21"/>
                <w:szCs w:val="21"/>
              </w:rPr>
            </w:pPr>
          </w:p>
        </w:tc>
        <w:tc>
          <w:tcPr>
            <w:tcW w:w="1098" w:type="dxa"/>
            <w:vAlign w:val="center"/>
          </w:tcPr>
          <w:p>
            <w:pPr>
              <w:pStyle w:val="40"/>
              <w:adjustRightInd w:val="0"/>
              <w:snapToGrid w:val="0"/>
              <w:spacing w:line="276" w:lineRule="auto"/>
              <w:ind w:firstLine="0" w:firstLineChars="0"/>
              <w:jc w:val="center"/>
              <w:rPr>
                <w:rFonts w:eastAsia="宋体"/>
                <w:sz w:val="21"/>
                <w:szCs w:val="21"/>
              </w:rPr>
            </w:pPr>
            <w:r>
              <w:rPr>
                <w:rFonts w:hint="eastAsia" w:eastAsia="宋体"/>
                <w:sz w:val="21"/>
                <w:szCs w:val="21"/>
              </w:rPr>
              <w:t>实验室废气排放口</w:t>
            </w:r>
          </w:p>
        </w:tc>
        <w:tc>
          <w:tcPr>
            <w:tcW w:w="1065" w:type="dxa"/>
            <w:vAlign w:val="center"/>
          </w:tcPr>
          <w:p>
            <w:pPr>
              <w:pStyle w:val="40"/>
              <w:adjustRightInd w:val="0"/>
              <w:snapToGrid w:val="0"/>
              <w:spacing w:line="276" w:lineRule="auto"/>
              <w:ind w:firstLine="0" w:firstLineChars="0"/>
              <w:jc w:val="left"/>
              <w:rPr>
                <w:rFonts w:eastAsia="宋体"/>
                <w:sz w:val="21"/>
                <w:szCs w:val="21"/>
              </w:rPr>
            </w:pPr>
            <w:r>
              <w:rPr>
                <w:rFonts w:hint="eastAsia" w:eastAsia="宋体"/>
                <w:sz w:val="21"/>
                <w:szCs w:val="21"/>
              </w:rPr>
              <w:t>HCl、硫酸雾、非甲烷总烃、臭气浓度</w:t>
            </w:r>
          </w:p>
        </w:tc>
        <w:tc>
          <w:tcPr>
            <w:tcW w:w="2631" w:type="dxa"/>
            <w:vAlign w:val="center"/>
          </w:tcPr>
          <w:p>
            <w:pPr>
              <w:pStyle w:val="40"/>
              <w:adjustRightInd w:val="0"/>
              <w:snapToGrid w:val="0"/>
              <w:spacing w:line="276" w:lineRule="auto"/>
              <w:ind w:firstLine="0" w:firstLineChars="0"/>
              <w:rPr>
                <w:rFonts w:eastAsia="宋体"/>
                <w:sz w:val="21"/>
                <w:szCs w:val="21"/>
              </w:rPr>
            </w:pPr>
            <w:r>
              <w:rPr>
                <w:rFonts w:hint="eastAsia" w:eastAsia="宋体"/>
                <w:sz w:val="21"/>
                <w:szCs w:val="21"/>
                <w:lang w:val="en-US" w:eastAsia="zh-CN"/>
              </w:rPr>
              <w:t>化学和生物</w:t>
            </w:r>
            <w:r>
              <w:rPr>
                <w:rFonts w:hint="eastAsia" w:eastAsia="宋体"/>
                <w:sz w:val="21"/>
                <w:szCs w:val="21"/>
              </w:rPr>
              <w:t>实验室设置专门的排毒通风柜，并设专门的风道或竖井将实验室废气引致屋顶高空排放</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排放高度20m</w:t>
            </w:r>
            <w:r>
              <w:rPr>
                <w:rFonts w:hint="eastAsia" w:ascii="Times New Roman" w:hAnsi="Times New Roman" w:eastAsia="宋体" w:cs="Times New Roman"/>
                <w:sz w:val="21"/>
                <w:szCs w:val="21"/>
                <w:lang w:eastAsia="zh-CN"/>
              </w:rPr>
              <w:t>）</w:t>
            </w:r>
          </w:p>
        </w:tc>
        <w:tc>
          <w:tcPr>
            <w:tcW w:w="2379" w:type="dxa"/>
            <w:vAlign w:val="center"/>
          </w:tcPr>
          <w:p>
            <w:pPr>
              <w:pStyle w:val="40"/>
              <w:adjustRightInd w:val="0"/>
              <w:snapToGrid w:val="0"/>
              <w:spacing w:line="276" w:lineRule="auto"/>
              <w:ind w:firstLine="0" w:firstLineChars="0"/>
              <w:rPr>
                <w:rFonts w:eastAsia="宋体"/>
                <w:sz w:val="21"/>
                <w:szCs w:val="21"/>
              </w:rPr>
            </w:pPr>
            <w:r>
              <w:rPr>
                <w:rFonts w:hint="eastAsia" w:eastAsia="宋体"/>
                <w:sz w:val="21"/>
                <w:szCs w:val="21"/>
              </w:rPr>
              <w:t>《大气污染物综合排放标准》（GB16297-1996）/《恶臭污染物排放标准》（GB14554-93）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87" w:type="dxa"/>
            <w:vMerge w:val="continue"/>
            <w:vAlign w:val="center"/>
          </w:tcPr>
          <w:p>
            <w:pPr>
              <w:pStyle w:val="40"/>
              <w:adjustRightInd w:val="0"/>
              <w:snapToGrid w:val="0"/>
              <w:spacing w:line="276" w:lineRule="auto"/>
              <w:ind w:firstLine="0" w:firstLineChars="0"/>
              <w:jc w:val="center"/>
              <w:rPr>
                <w:rFonts w:eastAsia="宋体"/>
                <w:sz w:val="21"/>
                <w:szCs w:val="21"/>
              </w:rPr>
            </w:pPr>
          </w:p>
        </w:tc>
        <w:tc>
          <w:tcPr>
            <w:tcW w:w="1098" w:type="dxa"/>
            <w:vAlign w:val="center"/>
          </w:tcPr>
          <w:p>
            <w:pPr>
              <w:pStyle w:val="40"/>
              <w:adjustRightInd w:val="0"/>
              <w:snapToGrid w:val="0"/>
              <w:spacing w:line="276" w:lineRule="auto"/>
              <w:ind w:firstLine="0" w:firstLineChars="0"/>
              <w:jc w:val="center"/>
              <w:rPr>
                <w:rFonts w:eastAsia="宋体"/>
                <w:sz w:val="21"/>
                <w:szCs w:val="21"/>
              </w:rPr>
            </w:pPr>
            <w:r>
              <w:rPr>
                <w:rFonts w:hint="eastAsia" w:eastAsia="宋体"/>
                <w:sz w:val="21"/>
                <w:szCs w:val="21"/>
              </w:rPr>
              <w:t>垃圾房</w:t>
            </w:r>
          </w:p>
        </w:tc>
        <w:tc>
          <w:tcPr>
            <w:tcW w:w="1065" w:type="dxa"/>
            <w:vAlign w:val="center"/>
          </w:tcPr>
          <w:p>
            <w:pPr>
              <w:pStyle w:val="40"/>
              <w:adjustRightInd w:val="0"/>
              <w:snapToGrid w:val="0"/>
              <w:spacing w:line="276" w:lineRule="auto"/>
              <w:ind w:firstLine="0" w:firstLineChars="0"/>
              <w:jc w:val="center"/>
              <w:rPr>
                <w:rFonts w:eastAsia="宋体"/>
                <w:sz w:val="21"/>
                <w:szCs w:val="21"/>
              </w:rPr>
            </w:pPr>
            <w:r>
              <w:rPr>
                <w:rFonts w:hint="eastAsia" w:eastAsia="宋体"/>
                <w:sz w:val="21"/>
                <w:szCs w:val="21"/>
              </w:rPr>
              <w:t>NH</w:t>
            </w:r>
            <w:r>
              <w:rPr>
                <w:rFonts w:hint="eastAsia" w:eastAsia="宋体"/>
                <w:sz w:val="21"/>
                <w:szCs w:val="21"/>
                <w:vertAlign w:val="subscript"/>
              </w:rPr>
              <w:t>3</w:t>
            </w:r>
            <w:r>
              <w:rPr>
                <w:rFonts w:hint="eastAsia" w:eastAsia="宋体"/>
                <w:sz w:val="21"/>
                <w:szCs w:val="21"/>
              </w:rPr>
              <w:t>、H</w:t>
            </w:r>
            <w:r>
              <w:rPr>
                <w:rFonts w:hint="eastAsia" w:eastAsia="宋体"/>
                <w:sz w:val="21"/>
                <w:szCs w:val="21"/>
                <w:vertAlign w:val="subscript"/>
              </w:rPr>
              <w:t>2</w:t>
            </w:r>
            <w:r>
              <w:rPr>
                <w:rFonts w:hint="eastAsia" w:eastAsia="宋体"/>
                <w:sz w:val="21"/>
                <w:szCs w:val="21"/>
              </w:rPr>
              <w:t>S、臭气浓度</w:t>
            </w:r>
          </w:p>
        </w:tc>
        <w:tc>
          <w:tcPr>
            <w:tcW w:w="2631" w:type="dxa"/>
            <w:vAlign w:val="center"/>
          </w:tcPr>
          <w:p>
            <w:pPr>
              <w:pStyle w:val="40"/>
              <w:adjustRightInd w:val="0"/>
              <w:snapToGrid w:val="0"/>
              <w:spacing w:line="276" w:lineRule="auto"/>
              <w:ind w:firstLine="0" w:firstLineChars="0"/>
              <w:rPr>
                <w:rFonts w:eastAsia="宋体"/>
                <w:sz w:val="21"/>
                <w:szCs w:val="21"/>
              </w:rPr>
            </w:pPr>
            <w:r>
              <w:rPr>
                <w:rFonts w:hint="eastAsia" w:eastAsia="宋体"/>
                <w:sz w:val="21"/>
                <w:szCs w:val="21"/>
              </w:rPr>
              <w:t>及时对垃圾房进行清扫，定期喷洒除臭剂除臭</w:t>
            </w:r>
          </w:p>
        </w:tc>
        <w:tc>
          <w:tcPr>
            <w:tcW w:w="2379" w:type="dxa"/>
            <w:vAlign w:val="center"/>
          </w:tcPr>
          <w:p>
            <w:pPr>
              <w:pStyle w:val="40"/>
              <w:adjustRightInd w:val="0"/>
              <w:snapToGrid w:val="0"/>
              <w:spacing w:line="276" w:lineRule="auto"/>
              <w:ind w:firstLine="0" w:firstLineChars="0"/>
              <w:rPr>
                <w:rFonts w:eastAsia="宋体"/>
                <w:sz w:val="21"/>
                <w:szCs w:val="21"/>
              </w:rPr>
            </w:pPr>
            <w:r>
              <w:rPr>
                <w:rFonts w:hint="eastAsia" w:eastAsia="宋体"/>
                <w:sz w:val="21"/>
                <w:szCs w:val="21"/>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87" w:type="dxa"/>
            <w:vAlign w:val="center"/>
          </w:tcPr>
          <w:p>
            <w:pPr>
              <w:pStyle w:val="40"/>
              <w:adjustRightInd w:val="0"/>
              <w:snapToGrid w:val="0"/>
              <w:spacing w:line="276" w:lineRule="auto"/>
              <w:ind w:firstLine="0" w:firstLineChars="0"/>
              <w:jc w:val="center"/>
              <w:rPr>
                <w:rFonts w:eastAsia="宋体"/>
                <w:sz w:val="21"/>
                <w:szCs w:val="21"/>
              </w:rPr>
            </w:pPr>
            <w:r>
              <w:rPr>
                <w:rFonts w:hint="eastAsia" w:eastAsia="宋体"/>
                <w:sz w:val="21"/>
                <w:szCs w:val="21"/>
              </w:rPr>
              <w:t>地表水环境</w:t>
            </w:r>
          </w:p>
        </w:tc>
        <w:tc>
          <w:tcPr>
            <w:tcW w:w="1098" w:type="dxa"/>
            <w:vAlign w:val="center"/>
          </w:tcPr>
          <w:p>
            <w:pPr>
              <w:pStyle w:val="40"/>
              <w:adjustRightInd w:val="0"/>
              <w:snapToGrid w:val="0"/>
              <w:spacing w:line="276" w:lineRule="auto"/>
              <w:ind w:firstLine="0" w:firstLineChars="0"/>
              <w:jc w:val="center"/>
              <w:rPr>
                <w:rFonts w:eastAsia="宋体"/>
                <w:sz w:val="21"/>
                <w:szCs w:val="21"/>
              </w:rPr>
            </w:pPr>
            <w:r>
              <w:rPr>
                <w:rFonts w:hint="eastAsia" w:eastAsia="宋体"/>
                <w:sz w:val="21"/>
                <w:szCs w:val="21"/>
              </w:rPr>
              <w:t>废水总排口</w:t>
            </w:r>
            <w:r>
              <w:rPr>
                <w:rFonts w:eastAsia="宋体"/>
                <w:sz w:val="21"/>
                <w:szCs w:val="21"/>
              </w:rPr>
              <w:t>（DW001）</w:t>
            </w:r>
          </w:p>
        </w:tc>
        <w:tc>
          <w:tcPr>
            <w:tcW w:w="1065" w:type="dxa"/>
            <w:vAlign w:val="center"/>
          </w:tcPr>
          <w:p>
            <w:pPr>
              <w:pStyle w:val="40"/>
              <w:adjustRightInd w:val="0"/>
              <w:snapToGrid w:val="0"/>
              <w:spacing w:line="276" w:lineRule="auto"/>
              <w:ind w:firstLine="0" w:firstLineChars="0"/>
              <w:jc w:val="center"/>
              <w:rPr>
                <w:rFonts w:eastAsia="宋体"/>
                <w:sz w:val="21"/>
                <w:szCs w:val="21"/>
              </w:rPr>
            </w:pPr>
            <w:r>
              <w:rPr>
                <w:rFonts w:eastAsia="宋体"/>
                <w:bCs/>
                <w:kern w:val="0"/>
                <w:sz w:val="21"/>
                <w:szCs w:val="21"/>
              </w:rPr>
              <w:t>COD</w:t>
            </w:r>
            <w:r>
              <w:rPr>
                <w:rFonts w:eastAsia="宋体"/>
                <w:bCs/>
                <w:kern w:val="0"/>
                <w:sz w:val="21"/>
                <w:szCs w:val="21"/>
                <w:vertAlign w:val="subscript"/>
              </w:rPr>
              <w:t>Cr</w:t>
            </w:r>
            <w:r>
              <w:rPr>
                <w:rFonts w:eastAsia="宋体"/>
                <w:bCs/>
                <w:kern w:val="0"/>
                <w:sz w:val="21"/>
                <w:szCs w:val="21"/>
              </w:rPr>
              <w:t>、氨氮</w:t>
            </w:r>
            <w:r>
              <w:rPr>
                <w:rFonts w:hint="eastAsia" w:eastAsia="宋体"/>
                <w:bCs/>
                <w:kern w:val="0"/>
                <w:sz w:val="21"/>
                <w:szCs w:val="21"/>
              </w:rPr>
              <w:t>、动植物油、S</w:t>
            </w:r>
            <w:r>
              <w:rPr>
                <w:rFonts w:eastAsia="宋体"/>
                <w:bCs/>
                <w:kern w:val="0"/>
                <w:sz w:val="21"/>
                <w:szCs w:val="21"/>
              </w:rPr>
              <w:t>S</w:t>
            </w:r>
            <w:r>
              <w:rPr>
                <w:rFonts w:hint="eastAsia" w:eastAsia="宋体"/>
                <w:bCs/>
                <w:kern w:val="0"/>
                <w:sz w:val="21"/>
                <w:szCs w:val="21"/>
              </w:rPr>
              <w:t>、等</w:t>
            </w:r>
          </w:p>
        </w:tc>
        <w:tc>
          <w:tcPr>
            <w:tcW w:w="2631" w:type="dxa"/>
            <w:vAlign w:val="center"/>
          </w:tcPr>
          <w:p>
            <w:pPr>
              <w:pStyle w:val="40"/>
              <w:adjustRightInd w:val="0"/>
              <w:snapToGrid w:val="0"/>
              <w:spacing w:line="276" w:lineRule="auto"/>
              <w:ind w:firstLine="0" w:firstLineChars="0"/>
              <w:jc w:val="left"/>
              <w:rPr>
                <w:rFonts w:eastAsia="宋体"/>
                <w:sz w:val="21"/>
                <w:szCs w:val="21"/>
              </w:rPr>
            </w:pPr>
            <w:r>
              <w:rPr>
                <w:rFonts w:hint="eastAsia" w:eastAsia="宋体"/>
                <w:sz w:val="21"/>
                <w:szCs w:val="21"/>
              </w:rPr>
              <w:t>生活污水化粪池预处理，实验室废水经中和调节池预处理，食堂废水经隔油池预处理，处理达标后一并纳入临平净水厂集中处理</w:t>
            </w:r>
          </w:p>
        </w:tc>
        <w:tc>
          <w:tcPr>
            <w:tcW w:w="2379" w:type="dxa"/>
            <w:vAlign w:val="center"/>
          </w:tcPr>
          <w:p>
            <w:pPr>
              <w:pStyle w:val="40"/>
              <w:adjustRightInd w:val="0"/>
              <w:snapToGrid w:val="0"/>
              <w:spacing w:line="240" w:lineRule="auto"/>
              <w:ind w:firstLine="0" w:firstLineChars="0"/>
              <w:jc w:val="left"/>
              <w:rPr>
                <w:rFonts w:eastAsia="宋体"/>
                <w:sz w:val="21"/>
                <w:szCs w:val="21"/>
              </w:rPr>
            </w:pPr>
            <w:r>
              <w:rPr>
                <w:rFonts w:hint="eastAsia" w:eastAsia="宋体"/>
                <w:b/>
                <w:bCs/>
                <w:sz w:val="21"/>
                <w:szCs w:val="21"/>
              </w:rPr>
              <w:t>纳管标准：</w:t>
            </w:r>
            <w:r>
              <w:rPr>
                <w:rFonts w:hint="eastAsia" w:eastAsia="宋体"/>
                <w:sz w:val="21"/>
                <w:szCs w:val="21"/>
              </w:rPr>
              <w:t>《污水综合排放标准》（GB8978-1996）三级标准、《工业企业废水氮、磷污染物间接排放限值》（DB33/887-2013）</w:t>
            </w:r>
            <w:r>
              <w:rPr>
                <w:rFonts w:eastAsia="宋体"/>
                <w:sz w:val="21"/>
                <w:szCs w:val="21"/>
              </w:rPr>
              <w:t>；</w:t>
            </w:r>
          </w:p>
          <w:p>
            <w:pPr>
              <w:pStyle w:val="40"/>
              <w:adjustRightInd w:val="0"/>
              <w:snapToGrid w:val="0"/>
              <w:spacing w:line="276" w:lineRule="auto"/>
              <w:ind w:firstLine="0" w:firstLineChars="0"/>
              <w:jc w:val="left"/>
              <w:rPr>
                <w:rFonts w:eastAsia="宋体"/>
                <w:sz w:val="21"/>
                <w:szCs w:val="21"/>
              </w:rPr>
            </w:pPr>
            <w:r>
              <w:rPr>
                <w:rFonts w:hint="eastAsia" w:hAnsi="宋体" w:eastAsia="宋体"/>
                <w:b/>
                <w:bCs/>
                <w:sz w:val="21"/>
                <w:szCs w:val="21"/>
              </w:rPr>
              <w:t>污水处理厂出水标准：</w:t>
            </w:r>
            <w:r>
              <w:rPr>
                <w:rFonts w:hint="eastAsia" w:hAnsi="宋体" w:eastAsia="宋体"/>
                <w:sz w:val="21"/>
                <w:szCs w:val="21"/>
              </w:rPr>
              <w:t>《城镇污水处理厂污染物排放标准》（GB18918-2002）一级排放标准A标准；《浙江省地方标准城镇污水处理厂主要水污染物排放标准》（</w:t>
            </w:r>
            <w:r>
              <w:rPr>
                <w:rFonts w:hAnsi="宋体" w:eastAsia="宋体"/>
                <w:sz w:val="21"/>
                <w:szCs w:val="21"/>
              </w:rPr>
              <w:t>DB33/2169-2018</w:t>
            </w:r>
            <w:r>
              <w:rPr>
                <w:rFonts w:hint="eastAsia" w:hAnsi="宋体"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87" w:type="dxa"/>
            <w:vAlign w:val="center"/>
          </w:tcPr>
          <w:p>
            <w:pPr>
              <w:pStyle w:val="40"/>
              <w:adjustRightInd w:val="0"/>
              <w:snapToGrid w:val="0"/>
              <w:spacing w:line="276" w:lineRule="auto"/>
              <w:ind w:firstLine="0" w:firstLineChars="0"/>
              <w:jc w:val="center"/>
              <w:rPr>
                <w:rFonts w:eastAsia="宋体"/>
                <w:sz w:val="21"/>
                <w:szCs w:val="21"/>
              </w:rPr>
            </w:pPr>
            <w:r>
              <w:rPr>
                <w:rFonts w:eastAsia="宋体"/>
                <w:sz w:val="21"/>
                <w:szCs w:val="21"/>
              </w:rPr>
              <w:t>声环境</w:t>
            </w:r>
          </w:p>
        </w:tc>
        <w:tc>
          <w:tcPr>
            <w:tcW w:w="1098" w:type="dxa"/>
            <w:vAlign w:val="center"/>
          </w:tcPr>
          <w:p>
            <w:pPr>
              <w:pStyle w:val="40"/>
              <w:adjustRightInd w:val="0"/>
              <w:snapToGrid w:val="0"/>
              <w:spacing w:line="276" w:lineRule="auto"/>
              <w:ind w:firstLine="0" w:firstLineChars="0"/>
              <w:jc w:val="center"/>
              <w:rPr>
                <w:rFonts w:eastAsia="宋体"/>
                <w:sz w:val="21"/>
                <w:szCs w:val="21"/>
              </w:rPr>
            </w:pPr>
            <w:r>
              <w:rPr>
                <w:rFonts w:hint="eastAsia" w:eastAsia="宋体"/>
                <w:sz w:val="21"/>
                <w:szCs w:val="21"/>
              </w:rPr>
              <w:t>学校</w:t>
            </w:r>
          </w:p>
        </w:tc>
        <w:tc>
          <w:tcPr>
            <w:tcW w:w="1065" w:type="dxa"/>
            <w:vAlign w:val="center"/>
          </w:tcPr>
          <w:p>
            <w:pPr>
              <w:pStyle w:val="40"/>
              <w:adjustRightInd w:val="0"/>
              <w:snapToGrid w:val="0"/>
              <w:spacing w:line="276" w:lineRule="auto"/>
              <w:ind w:firstLine="0" w:firstLineChars="0"/>
              <w:jc w:val="center"/>
              <w:rPr>
                <w:rFonts w:eastAsia="宋体"/>
                <w:sz w:val="21"/>
                <w:szCs w:val="21"/>
              </w:rPr>
            </w:pPr>
            <w:r>
              <w:rPr>
                <w:rFonts w:eastAsia="宋体"/>
                <w:sz w:val="21"/>
                <w:szCs w:val="21"/>
              </w:rPr>
              <w:t>噪声</w:t>
            </w:r>
          </w:p>
        </w:tc>
        <w:tc>
          <w:tcPr>
            <w:tcW w:w="2631" w:type="dxa"/>
            <w:vAlign w:val="center"/>
          </w:tcPr>
          <w:p>
            <w:pPr>
              <w:pStyle w:val="48"/>
              <w:jc w:val="left"/>
              <w:rPr>
                <w:szCs w:val="21"/>
              </w:rPr>
            </w:pPr>
            <w:r>
              <w:rPr>
                <w:rFonts w:hint="eastAsia"/>
                <w:szCs w:val="21"/>
              </w:rPr>
              <w:t>空调和通风设备采用低噪声低振动的设备，并采取消声、隔声、减振、隔振的措施，例如为坐装的空调主机和空调箱（器）配备弹性减振基座，吊装的空调和通风机组设置弹性减振吊架，在风机进、出口设置非燃性的软接头，在空调和通风风管上配备消声器或消声装置，以满足环保部门和设计规范有关噪声控制的要求；空调通风设备机房外墙处的通风百叶，均采用防水消声百叶，四壁和顶面均采取土建吸声、隔声措施。</w:t>
            </w:r>
          </w:p>
        </w:tc>
        <w:tc>
          <w:tcPr>
            <w:tcW w:w="2379" w:type="dxa"/>
            <w:vAlign w:val="center"/>
          </w:tcPr>
          <w:p>
            <w:pPr>
              <w:pStyle w:val="48"/>
              <w:jc w:val="both"/>
              <w:rPr>
                <w:szCs w:val="21"/>
              </w:rPr>
            </w:pPr>
            <w:r>
              <w:rPr>
                <w:szCs w:val="21"/>
              </w:rPr>
              <w:t>《工业企业厂界环境噪声排放标准》（GB12348-2008）中的</w:t>
            </w:r>
            <w:r>
              <w:rPr>
                <w:rFonts w:hint="eastAsia"/>
                <w:szCs w:val="21"/>
              </w:rPr>
              <w:t>2类</w:t>
            </w:r>
            <w:r>
              <w:rPr>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8" w:hRule="atLeast"/>
          <w:jc w:val="center"/>
        </w:trPr>
        <w:tc>
          <w:tcPr>
            <w:tcW w:w="1187" w:type="dxa"/>
            <w:vAlign w:val="center"/>
          </w:tcPr>
          <w:p>
            <w:pPr>
              <w:pStyle w:val="40"/>
              <w:adjustRightInd w:val="0"/>
              <w:snapToGrid w:val="0"/>
              <w:spacing w:line="276" w:lineRule="auto"/>
              <w:ind w:firstLine="0" w:firstLineChars="0"/>
              <w:jc w:val="center"/>
              <w:rPr>
                <w:rFonts w:eastAsia="宋体"/>
                <w:sz w:val="21"/>
                <w:szCs w:val="21"/>
              </w:rPr>
            </w:pPr>
            <w:r>
              <w:rPr>
                <w:rFonts w:hint="eastAsia" w:eastAsia="宋体"/>
                <w:sz w:val="21"/>
                <w:szCs w:val="21"/>
              </w:rPr>
              <w:t>电磁辐射</w:t>
            </w:r>
          </w:p>
        </w:tc>
        <w:tc>
          <w:tcPr>
            <w:tcW w:w="7173" w:type="dxa"/>
            <w:gridSpan w:val="4"/>
            <w:vAlign w:val="center"/>
          </w:tcPr>
          <w:p>
            <w:pPr>
              <w:pStyle w:val="40"/>
              <w:adjustRightInd w:val="0"/>
              <w:snapToGrid w:val="0"/>
              <w:spacing w:line="240" w:lineRule="auto"/>
              <w:ind w:firstLine="0" w:firstLineChars="0"/>
              <w:jc w:val="center"/>
              <w:rPr>
                <w:rFonts w:eastAsia="宋体"/>
                <w:kern w:val="0"/>
                <w:sz w:val="21"/>
                <w:szCs w:val="21"/>
              </w:rPr>
            </w:pPr>
            <w:r>
              <w:rPr>
                <w:rFonts w:hint="eastAsia" w:eastAsia="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87" w:type="dxa"/>
            <w:vAlign w:val="center"/>
          </w:tcPr>
          <w:p>
            <w:pPr>
              <w:pStyle w:val="40"/>
              <w:adjustRightInd w:val="0"/>
              <w:snapToGrid w:val="0"/>
              <w:spacing w:line="440" w:lineRule="exact"/>
              <w:ind w:firstLine="0" w:firstLineChars="0"/>
              <w:jc w:val="center"/>
              <w:rPr>
                <w:rFonts w:eastAsia="宋体"/>
                <w:sz w:val="21"/>
                <w:szCs w:val="21"/>
              </w:rPr>
            </w:pPr>
            <w:r>
              <w:rPr>
                <w:rFonts w:eastAsia="宋体"/>
                <w:sz w:val="21"/>
                <w:szCs w:val="21"/>
              </w:rPr>
              <w:t>固体废物</w:t>
            </w:r>
          </w:p>
        </w:tc>
        <w:tc>
          <w:tcPr>
            <w:tcW w:w="7173" w:type="dxa"/>
            <w:gridSpan w:val="4"/>
            <w:vAlign w:val="center"/>
          </w:tcPr>
          <w:p>
            <w:pPr>
              <w:pStyle w:val="48"/>
              <w:spacing w:line="400" w:lineRule="exact"/>
              <w:ind w:firstLine="420" w:firstLineChars="200"/>
              <w:jc w:val="both"/>
              <w:rPr>
                <w:snapToGrid w:val="0"/>
                <w:szCs w:val="21"/>
              </w:rPr>
            </w:pPr>
            <w:r>
              <w:rPr>
                <w:rFonts w:hint="eastAsia"/>
                <w:snapToGrid w:val="0"/>
                <w:szCs w:val="21"/>
              </w:rPr>
              <w:t>废油脂委托有资质的单位清掏处理；医务室废物、实验室废物属于危险废物，委托有资质危废处置单位处置；餐厨垃圾委托餐厨垃圾处理单位回收处理；生活垃圾委托环卫部门处理。废油脂采用容器包装，实验室废物、医疗废物采用袋装，并配有相应的托盘，防止固废的散溢和泄漏。</w:t>
            </w:r>
          </w:p>
          <w:p>
            <w:pPr>
              <w:pStyle w:val="48"/>
              <w:spacing w:line="400" w:lineRule="exact"/>
              <w:ind w:firstLine="422" w:firstLineChars="200"/>
              <w:jc w:val="both"/>
              <w:rPr>
                <w:snapToGrid w:val="0"/>
                <w:szCs w:val="21"/>
              </w:rPr>
            </w:pPr>
            <w:r>
              <w:rPr>
                <w:b/>
                <w:snapToGrid w:val="0"/>
                <w:szCs w:val="21"/>
              </w:rPr>
              <w:t>一般工业固废措施要求：</w:t>
            </w:r>
            <w:r>
              <w:rPr>
                <w:snapToGrid w:val="0"/>
                <w:szCs w:val="21"/>
              </w:rPr>
              <w:t>严格分类收集，暂存在一般工业固废</w:t>
            </w:r>
            <w:r>
              <w:rPr>
                <w:rFonts w:hint="eastAsia"/>
                <w:snapToGrid w:val="0"/>
                <w:szCs w:val="21"/>
              </w:rPr>
              <w:t>暂存间</w:t>
            </w:r>
            <w:r>
              <w:rPr>
                <w:snapToGrid w:val="0"/>
                <w:szCs w:val="21"/>
              </w:rPr>
              <w:t>，学校需建立一般工业固体废物管理台账，如实记录产生工业固体废物的种类、数量、流向、贮存、利用、处置等信息。委托他人运输、利用、处置工业固体废物的，应当对受托方的主体资格和技术能力进行核实，依法签订书面合同，在合同中约定污染防治要求。仓库建设</w:t>
            </w:r>
            <w:r>
              <w:rPr>
                <w:rFonts w:hint="eastAsia"/>
                <w:snapToGrid w:val="0"/>
                <w:szCs w:val="21"/>
              </w:rPr>
              <w:t>参照《一般工业固体废物贮存和填埋污染控制标准》（GB18599-2020）</w:t>
            </w:r>
            <w:r>
              <w:rPr>
                <w:snapToGrid w:val="0"/>
                <w:szCs w:val="21"/>
              </w:rPr>
              <w:t>相关要求</w:t>
            </w:r>
            <w:r>
              <w:rPr>
                <w:rFonts w:hint="eastAsia"/>
                <w:snapToGrid w:val="0"/>
                <w:szCs w:val="21"/>
              </w:rPr>
              <w:t>执行</w:t>
            </w:r>
            <w:r>
              <w:rPr>
                <w:snapToGrid w:val="0"/>
                <w:szCs w:val="21"/>
              </w:rPr>
              <w:t>；</w:t>
            </w:r>
          </w:p>
          <w:p>
            <w:pPr>
              <w:pStyle w:val="48"/>
              <w:spacing w:line="400" w:lineRule="exact"/>
              <w:ind w:firstLine="422" w:firstLineChars="200"/>
              <w:jc w:val="both"/>
              <w:rPr>
                <w:snapToGrid w:val="0"/>
                <w:szCs w:val="21"/>
              </w:rPr>
            </w:pPr>
            <w:r>
              <w:rPr>
                <w:b/>
                <w:snapToGrid w:val="0"/>
              </w:rPr>
              <w:t>危险废物措施要求：</w:t>
            </w:r>
            <w:r>
              <w:rPr>
                <w:snapToGrid w:val="0"/>
                <w:szCs w:val="21"/>
              </w:rPr>
              <w:t>分类收集，暂存在危废暂存</w:t>
            </w:r>
            <w:r>
              <w:rPr>
                <w:rFonts w:hint="eastAsia"/>
                <w:snapToGrid w:val="0"/>
                <w:szCs w:val="21"/>
              </w:rPr>
              <w:t>间</w:t>
            </w:r>
            <w:r>
              <w:rPr>
                <w:snapToGrid w:val="0"/>
                <w:szCs w:val="21"/>
              </w:rPr>
              <w:t>，定期委托有资质单位统一安全处置，危废暂存间要求做好防腐防渗处理，符合“防风、防雨、防晒、防渗漏”要求。同时有专人看守防遗失。危废暂存间建设应满足《危险废物贮存污染控制标准》（GB18597-2023），设立独立的危险废物暂存场所并做好标识；制定危险废物年度管理计划，并进行在线申报备案；</w:t>
            </w:r>
            <w:r>
              <w:rPr>
                <w:rFonts w:hint="eastAsia"/>
                <w:snapToGrid w:val="0"/>
                <w:szCs w:val="21"/>
              </w:rPr>
              <w:t>执行转移联单制度，规范危险废物管理台账记录</w:t>
            </w:r>
            <w:r>
              <w:rPr>
                <w:snapToGrid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87" w:type="dxa"/>
            <w:vAlign w:val="center"/>
          </w:tcPr>
          <w:p>
            <w:pPr>
              <w:pStyle w:val="40"/>
              <w:adjustRightInd w:val="0"/>
              <w:snapToGrid w:val="0"/>
              <w:spacing w:line="276" w:lineRule="auto"/>
              <w:ind w:firstLine="0" w:firstLineChars="0"/>
              <w:jc w:val="center"/>
              <w:rPr>
                <w:rFonts w:eastAsia="宋体"/>
                <w:sz w:val="21"/>
                <w:szCs w:val="21"/>
              </w:rPr>
            </w:pPr>
            <w:r>
              <w:rPr>
                <w:rFonts w:eastAsia="宋体"/>
                <w:sz w:val="21"/>
                <w:szCs w:val="21"/>
              </w:rPr>
              <w:t>土壤及地下水污染防治措施</w:t>
            </w:r>
          </w:p>
        </w:tc>
        <w:tc>
          <w:tcPr>
            <w:tcW w:w="7173" w:type="dxa"/>
            <w:gridSpan w:val="4"/>
            <w:vAlign w:val="center"/>
          </w:tcPr>
          <w:p>
            <w:pPr>
              <w:pStyle w:val="40"/>
              <w:adjustRightInd w:val="0"/>
              <w:snapToGrid w:val="0"/>
              <w:spacing w:line="240" w:lineRule="auto"/>
              <w:ind w:firstLine="0" w:firstLineChars="0"/>
              <w:jc w:val="center"/>
              <w:rPr>
                <w:rFonts w:ascii="宋体" w:hAnsi="宋体" w:eastAsia="宋体"/>
                <w:b/>
                <w:sz w:val="21"/>
                <w:szCs w:val="21"/>
              </w:rPr>
            </w:pPr>
            <w:r>
              <w:rPr>
                <w:rFonts w:hint="eastAsia" w:ascii="宋体" w:hAnsi="宋体" w:eastAsia="宋体"/>
                <w:sz w:val="21"/>
                <w:szCs w:val="18"/>
              </w:rPr>
              <w:t>落实好防渗、防腐措施，加强管理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5" w:hRule="atLeast"/>
          <w:jc w:val="center"/>
        </w:trPr>
        <w:tc>
          <w:tcPr>
            <w:tcW w:w="1187" w:type="dxa"/>
            <w:vAlign w:val="center"/>
          </w:tcPr>
          <w:p>
            <w:pPr>
              <w:pStyle w:val="40"/>
              <w:adjustRightInd w:val="0"/>
              <w:snapToGrid w:val="0"/>
              <w:spacing w:line="276" w:lineRule="auto"/>
              <w:ind w:firstLine="0" w:firstLineChars="0"/>
              <w:jc w:val="center"/>
              <w:rPr>
                <w:rFonts w:eastAsia="宋体"/>
                <w:sz w:val="21"/>
                <w:szCs w:val="21"/>
              </w:rPr>
            </w:pPr>
            <w:r>
              <w:rPr>
                <w:rFonts w:eastAsia="宋体"/>
                <w:sz w:val="21"/>
                <w:szCs w:val="21"/>
              </w:rPr>
              <w:t>生态保护措施</w:t>
            </w:r>
          </w:p>
        </w:tc>
        <w:tc>
          <w:tcPr>
            <w:tcW w:w="7173" w:type="dxa"/>
            <w:gridSpan w:val="4"/>
            <w:vAlign w:val="center"/>
          </w:tcPr>
          <w:p>
            <w:pPr>
              <w:pStyle w:val="40"/>
              <w:adjustRightInd w:val="0"/>
              <w:snapToGrid w:val="0"/>
              <w:ind w:firstLine="420"/>
              <w:rPr>
                <w:rFonts w:eastAsia="宋体"/>
                <w:sz w:val="21"/>
                <w:szCs w:val="21"/>
              </w:rPr>
            </w:pPr>
            <w:r>
              <w:rPr>
                <w:rFonts w:hint="eastAsia" w:eastAsia="宋体"/>
                <w:sz w:val="21"/>
                <w:szCs w:val="21"/>
              </w:rPr>
              <w:t>施工期，禁止向周边河道倾倒建筑垃圾，泥浆废水必须收集后进行沉淀处理。部分上清液可回用于工程养护、机具清洗和场地洒水等，无法回用的经沉淀处理后满足《污水综合排放标准》（GB8978-1996）三级标准后纳入临平净水厂处理，严禁施工废水直接排入环境地表水体。营运期，校内加强绿化，通过绿化设计，形成乔、灌、草有机结合的主体绿色景观。同时，废水、废气、噪声经处理达标，固体废物妥善处理，本项目对所在地生态环境的影响可控制在允许的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87" w:type="dxa"/>
            <w:vAlign w:val="center"/>
          </w:tcPr>
          <w:p>
            <w:pPr>
              <w:pStyle w:val="40"/>
              <w:adjustRightInd w:val="0"/>
              <w:snapToGrid w:val="0"/>
              <w:spacing w:line="276" w:lineRule="auto"/>
              <w:ind w:firstLine="0" w:firstLineChars="0"/>
              <w:jc w:val="center"/>
              <w:rPr>
                <w:rFonts w:eastAsia="宋体"/>
                <w:sz w:val="21"/>
                <w:szCs w:val="21"/>
              </w:rPr>
            </w:pPr>
            <w:r>
              <w:rPr>
                <w:rFonts w:eastAsia="宋体"/>
                <w:sz w:val="21"/>
                <w:szCs w:val="21"/>
              </w:rPr>
              <w:t>环境风险防范措施</w:t>
            </w:r>
          </w:p>
        </w:tc>
        <w:tc>
          <w:tcPr>
            <w:tcW w:w="7173" w:type="dxa"/>
            <w:gridSpan w:val="4"/>
            <w:vAlign w:val="center"/>
          </w:tcPr>
          <w:p>
            <w:pPr>
              <w:adjustRightInd w:val="0"/>
              <w:snapToGrid w:val="0"/>
              <w:ind w:firstLine="420" w:firstLineChars="200"/>
              <w:rPr>
                <w:rFonts w:eastAsia="宋体"/>
                <w:sz w:val="21"/>
                <w:szCs w:val="21"/>
              </w:rPr>
            </w:pPr>
            <w:r>
              <w:rPr>
                <w:rFonts w:hint="eastAsia" w:eastAsia="宋体"/>
                <w:sz w:val="21"/>
                <w:szCs w:val="21"/>
              </w:rPr>
              <w:t>学校化学品管理制度为了尽量减小危险物品的环境风险，学校制定了实验室危险物品管理制度，具体要求如下：</w:t>
            </w:r>
          </w:p>
          <w:p>
            <w:pPr>
              <w:adjustRightInd w:val="0"/>
              <w:snapToGrid w:val="0"/>
              <w:ind w:firstLine="420" w:firstLineChars="200"/>
              <w:rPr>
                <w:rFonts w:eastAsia="宋体"/>
                <w:sz w:val="21"/>
                <w:szCs w:val="21"/>
              </w:rPr>
            </w:pPr>
            <w:r>
              <w:rPr>
                <w:rFonts w:hint="eastAsia" w:eastAsia="宋体"/>
                <w:sz w:val="21"/>
                <w:szCs w:val="21"/>
              </w:rPr>
              <w:t>A、危险品必须指定熟悉危险品业务的专人保管，药品库内要配备消防、防盗、通风等防护设施，严禁烟火。做好基础的防渗、防潮、防漏处理。</w:t>
            </w:r>
          </w:p>
          <w:p>
            <w:pPr>
              <w:adjustRightInd w:val="0"/>
              <w:snapToGrid w:val="0"/>
              <w:ind w:firstLine="420" w:firstLineChars="200"/>
              <w:rPr>
                <w:rFonts w:eastAsia="宋体"/>
                <w:sz w:val="21"/>
                <w:szCs w:val="21"/>
              </w:rPr>
            </w:pPr>
            <w:r>
              <w:rPr>
                <w:rFonts w:hint="eastAsia" w:eastAsia="宋体"/>
                <w:sz w:val="21"/>
                <w:szCs w:val="21"/>
              </w:rPr>
              <w:t>B、要将危险品分隔存放在危险品柜内，存放剧毒药品的专柜要双人双锁保管，禁止有实验室内存放食品。</w:t>
            </w:r>
          </w:p>
          <w:p>
            <w:pPr>
              <w:adjustRightInd w:val="0"/>
              <w:snapToGrid w:val="0"/>
              <w:ind w:firstLine="420" w:firstLineChars="200"/>
              <w:rPr>
                <w:rFonts w:eastAsia="宋体"/>
                <w:sz w:val="21"/>
                <w:szCs w:val="21"/>
              </w:rPr>
            </w:pPr>
            <w:r>
              <w:rPr>
                <w:rFonts w:hint="eastAsia" w:eastAsia="宋体"/>
                <w:sz w:val="21"/>
                <w:szCs w:val="21"/>
              </w:rPr>
              <w:t>C、要严格危险品的须用手续，必须由教师领取签章并负责需出药品的安全保护工作，防止发生意外，严禁学生代领。</w:t>
            </w:r>
          </w:p>
          <w:p>
            <w:pPr>
              <w:adjustRightInd w:val="0"/>
              <w:snapToGrid w:val="0"/>
              <w:ind w:firstLine="420" w:firstLineChars="200"/>
              <w:rPr>
                <w:rFonts w:eastAsia="宋体"/>
                <w:sz w:val="21"/>
                <w:szCs w:val="21"/>
              </w:rPr>
            </w:pPr>
            <w:r>
              <w:rPr>
                <w:rFonts w:hint="eastAsia" w:eastAsia="宋体"/>
                <w:sz w:val="21"/>
                <w:szCs w:val="21"/>
              </w:rPr>
              <w:t>D、学生使用危险品实验时，教师应详细指导，并说明危险性。</w:t>
            </w:r>
          </w:p>
          <w:p>
            <w:pPr>
              <w:adjustRightInd w:val="0"/>
              <w:snapToGrid w:val="0"/>
              <w:ind w:firstLine="420" w:firstLineChars="200"/>
              <w:rPr>
                <w:rFonts w:eastAsia="宋体"/>
                <w:sz w:val="21"/>
                <w:szCs w:val="21"/>
              </w:rPr>
            </w:pPr>
            <w:r>
              <w:rPr>
                <w:rFonts w:hint="eastAsia" w:eastAsia="宋体"/>
                <w:sz w:val="21"/>
                <w:szCs w:val="21"/>
              </w:rPr>
              <w:t>E、使用后剩余的危险品，应立即送还并妥普保管，对废液、残物，要认真按国家有关要求处理好。如发现危险品特别是剧毒被盗，要立即报告校领导，并通知公安部门查处。</w:t>
            </w:r>
          </w:p>
          <w:p>
            <w:pPr>
              <w:adjustRightInd w:val="0"/>
              <w:snapToGrid w:val="0"/>
              <w:ind w:firstLine="420" w:firstLineChars="200"/>
              <w:rPr>
                <w:rFonts w:eastAsia="宋体"/>
                <w:sz w:val="21"/>
                <w:szCs w:val="21"/>
              </w:rPr>
            </w:pPr>
            <w:r>
              <w:rPr>
                <w:rFonts w:hint="eastAsia" w:eastAsia="宋体"/>
                <w:sz w:val="21"/>
                <w:szCs w:val="21"/>
              </w:rPr>
              <w:t>F、制定严格的防火、防爆制度，加强职工的安全意识，定期对职工进行如何避免火灾发生、安全消防知识教育，组织安全队伍，建立安全监督机制，进行安全考核等。</w:t>
            </w:r>
          </w:p>
          <w:p>
            <w:pPr>
              <w:pStyle w:val="40"/>
              <w:adjustRightInd w:val="0"/>
              <w:snapToGrid w:val="0"/>
              <w:ind w:firstLine="200" w:firstLineChars="0"/>
              <w:rPr>
                <w:rFonts w:eastAsia="宋体"/>
                <w:sz w:val="21"/>
                <w:szCs w:val="21"/>
              </w:rPr>
            </w:pPr>
            <w:r>
              <w:rPr>
                <w:rFonts w:hint="eastAsia" w:eastAsia="宋体"/>
                <w:sz w:val="21"/>
                <w:szCs w:val="21"/>
              </w:rPr>
              <w:t>G、对违规操作出现事故的，追究相关人员的责任。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187" w:type="dxa"/>
            <w:vAlign w:val="center"/>
          </w:tcPr>
          <w:p>
            <w:pPr>
              <w:pStyle w:val="40"/>
              <w:adjustRightInd w:val="0"/>
              <w:snapToGrid w:val="0"/>
              <w:spacing w:line="276" w:lineRule="auto"/>
              <w:ind w:firstLine="0" w:firstLineChars="0"/>
              <w:jc w:val="center"/>
              <w:rPr>
                <w:rFonts w:eastAsia="宋体"/>
                <w:sz w:val="21"/>
                <w:szCs w:val="21"/>
              </w:rPr>
            </w:pPr>
            <w:r>
              <w:rPr>
                <w:rFonts w:eastAsia="宋体"/>
                <w:sz w:val="21"/>
                <w:szCs w:val="21"/>
              </w:rPr>
              <w:t>其他环境管理要求</w:t>
            </w:r>
          </w:p>
        </w:tc>
        <w:tc>
          <w:tcPr>
            <w:tcW w:w="7173" w:type="dxa"/>
            <w:gridSpan w:val="4"/>
            <w:vAlign w:val="center"/>
          </w:tcPr>
          <w:p>
            <w:pPr>
              <w:pStyle w:val="40"/>
              <w:adjustRightInd w:val="0"/>
              <w:snapToGrid w:val="0"/>
              <w:spacing w:line="240" w:lineRule="auto"/>
              <w:ind w:firstLine="0" w:firstLineChars="0"/>
              <w:jc w:val="center"/>
              <w:rPr>
                <w:rFonts w:eastAsia="宋体"/>
                <w:sz w:val="21"/>
                <w:szCs w:val="21"/>
              </w:rPr>
            </w:pPr>
            <w:r>
              <w:rPr>
                <w:rFonts w:hint="eastAsia" w:eastAsia="宋体"/>
                <w:sz w:val="21"/>
                <w:szCs w:val="21"/>
              </w:rPr>
              <w:t>/</w:t>
            </w:r>
          </w:p>
        </w:tc>
      </w:tr>
    </w:tbl>
    <w:p>
      <w:pPr>
        <w:pStyle w:val="16"/>
        <w:jc w:val="center"/>
        <w:rPr>
          <w:rFonts w:ascii="Times New Roman" w:hAnsi="Times New Roman" w:eastAsia="宋体" w:cs="Times New Roman"/>
        </w:rPr>
        <w:sectPr>
          <w:pgSz w:w="11906" w:h="16838"/>
          <w:pgMar w:top="1440" w:right="1800" w:bottom="1440" w:left="1800" w:header="851" w:footer="992" w:gutter="0"/>
          <w:pgNumType w:fmt="decimal"/>
          <w:cols w:space="425" w:num="1"/>
          <w:docGrid w:type="lines" w:linePitch="312" w:charSpace="0"/>
        </w:sectPr>
      </w:pPr>
    </w:p>
    <w:p>
      <w:pPr>
        <w:pStyle w:val="16"/>
        <w:numPr>
          <w:ilvl w:val="0"/>
          <w:numId w:val="5"/>
        </w:numPr>
        <w:ind w:left="482" w:hanging="482"/>
        <w:jc w:val="center"/>
        <w:outlineLvl w:val="0"/>
        <w:rPr>
          <w:rFonts w:ascii="Times New Roman" w:hAnsi="Times New Roman" w:eastAsia="宋体" w:cs="Times New Roman"/>
          <w:b/>
        </w:rPr>
      </w:pPr>
      <w:bookmarkStart w:id="12" w:name="_Toc140406082"/>
      <w:r>
        <w:rPr>
          <w:rFonts w:hint="eastAsia" w:ascii="Times New Roman" w:hAnsi="Times New Roman" w:eastAsia="宋体" w:cs="Times New Roman"/>
          <w:b/>
        </w:rPr>
        <w:t>结论</w:t>
      </w:r>
      <w:bookmarkEnd w:id="12"/>
    </w:p>
    <w:tbl>
      <w:tblPr>
        <w:tblStyle w:val="32"/>
        <w:tblW w:w="0" w:type="auto"/>
        <w:tblInd w:w="4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440" w:lineRule="exact"/>
              <w:ind w:firstLine="480" w:firstLineChars="200"/>
              <w:rPr>
                <w:rFonts w:eastAsia="宋体"/>
              </w:rPr>
            </w:pPr>
            <w:r>
              <w:rPr>
                <w:rFonts w:hint="eastAsia" w:eastAsia="宋体"/>
              </w:rPr>
              <w:t>联胜九年一贯制学校项目位于杭州市临平区南苑街道，东至新城路，西、北至联胜路，南至相邻地块，项目排放污染物符合国家和浙江省规定的污染物排放标准和主要污染物排放总量控制指标，符合“三线一单”控制要求，</w:t>
            </w:r>
            <w:r>
              <w:rPr>
                <w:rFonts w:hint="eastAsia" w:hAnsi="宋体" w:eastAsia="宋体"/>
              </w:rPr>
              <w:t>本项目位于城镇开发空间内，不占用生态空间及农业空间，符合“三区三线”的相关要求</w:t>
            </w:r>
            <w:r>
              <w:rPr>
                <w:rFonts w:hint="eastAsia" w:eastAsia="宋体"/>
              </w:rPr>
              <w:t>。本项目</w:t>
            </w:r>
            <w:r>
              <w:rPr>
                <w:rFonts w:eastAsia="宋体"/>
              </w:rPr>
              <w:t>不属于《产业结构调整指导目录</w:t>
            </w:r>
            <w:r>
              <w:rPr>
                <w:rFonts w:hint="eastAsia" w:eastAsia="宋体"/>
              </w:rPr>
              <w:t>（2</w:t>
            </w:r>
            <w:r>
              <w:rPr>
                <w:rFonts w:eastAsia="宋体"/>
              </w:rPr>
              <w:t>019</w:t>
            </w:r>
            <w:r>
              <w:rPr>
                <w:rFonts w:hint="eastAsia" w:eastAsia="宋体"/>
              </w:rPr>
              <w:t>年本）</w:t>
            </w:r>
            <w:r>
              <w:rPr>
                <w:rFonts w:eastAsia="宋体"/>
              </w:rPr>
              <w:t>》</w:t>
            </w:r>
            <w:r>
              <w:rPr>
                <w:rFonts w:hint="eastAsia" w:eastAsia="宋体"/>
              </w:rPr>
              <w:t>（</w:t>
            </w:r>
            <w:r>
              <w:rPr>
                <w:rFonts w:eastAsia="宋体"/>
              </w:rPr>
              <w:t>2021</w:t>
            </w:r>
            <w:r>
              <w:rPr>
                <w:rFonts w:hint="eastAsia" w:eastAsia="宋体"/>
              </w:rPr>
              <w:t>年修正）</w:t>
            </w:r>
            <w:r>
              <w:rPr>
                <w:rFonts w:eastAsia="宋体"/>
              </w:rPr>
              <w:t>中的鼓励类、限制类和淘汰类项目，属于允许类项目</w:t>
            </w:r>
            <w:r>
              <w:rPr>
                <w:rFonts w:hint="eastAsia" w:eastAsia="宋体"/>
              </w:rPr>
              <w:t>，符合产业要求。项目营运期会产生一定的污染物，经评价分析，若采用严格的科学管理和环保治理手段，可控制环境污染，对周边环境影响不大。</w:t>
            </w:r>
          </w:p>
          <w:p>
            <w:pPr>
              <w:pStyle w:val="16"/>
              <w:ind w:firstLine="480" w:firstLineChars="200"/>
              <w:rPr>
                <w:rFonts w:ascii="Times New Roman" w:hAnsi="Times New Roman" w:eastAsia="宋体" w:cs="Times New Roman"/>
              </w:rPr>
            </w:pPr>
            <w:r>
              <w:rPr>
                <w:rFonts w:ascii="Times New Roman" w:hAnsi="Times New Roman" w:eastAsia="宋体" w:cs="Times New Roman"/>
              </w:rPr>
              <w:t>因此，</w:t>
            </w:r>
            <w:r>
              <w:rPr>
                <w:rFonts w:hint="eastAsia" w:ascii="Times New Roman" w:hAnsi="Times New Roman" w:eastAsia="宋体" w:cs="Times New Roman"/>
              </w:rPr>
              <w:t>在落实本报告提出的各项污染防治措施，严格执行“三同时”制度的情况下，</w:t>
            </w:r>
            <w:r>
              <w:rPr>
                <w:rFonts w:ascii="Times New Roman" w:hAnsi="Times New Roman" w:eastAsia="宋体" w:cs="Times New Roman"/>
              </w:rPr>
              <w:t>从环境保护角度看，本项目</w:t>
            </w:r>
            <w:r>
              <w:rPr>
                <w:rFonts w:hint="eastAsia" w:ascii="Times New Roman" w:hAnsi="Times New Roman" w:eastAsia="宋体" w:cs="Times New Roman"/>
              </w:rPr>
              <w:t>在拟建地实施</w:t>
            </w:r>
            <w:r>
              <w:rPr>
                <w:rFonts w:ascii="Times New Roman" w:hAnsi="Times New Roman" w:eastAsia="宋体" w:cs="Times New Roman"/>
              </w:rPr>
              <w:t>是可行的。</w:t>
            </w:r>
          </w:p>
          <w:p>
            <w:pPr>
              <w:pStyle w:val="16"/>
              <w:ind w:firstLine="480" w:firstLineChars="200"/>
              <w:rPr>
                <w:rFonts w:ascii="Times New Roman" w:hAnsi="Times New Roman" w:eastAsia="宋体" w:cs="Times New Roman"/>
              </w:rPr>
            </w:pPr>
          </w:p>
          <w:p>
            <w:pPr>
              <w:pStyle w:val="16"/>
              <w:ind w:firstLine="480" w:firstLineChars="200"/>
              <w:rPr>
                <w:rFonts w:ascii="Times New Roman" w:hAnsi="Times New Roman" w:eastAsia="宋体" w:cs="Times New Roman"/>
              </w:rPr>
            </w:pPr>
          </w:p>
          <w:p>
            <w:pPr>
              <w:pStyle w:val="16"/>
              <w:ind w:firstLine="480" w:firstLineChars="200"/>
              <w:rPr>
                <w:rFonts w:ascii="Times New Roman" w:hAnsi="Times New Roman" w:eastAsia="宋体" w:cs="Times New Roman"/>
              </w:rPr>
            </w:pPr>
          </w:p>
          <w:p>
            <w:pPr>
              <w:pStyle w:val="16"/>
              <w:ind w:firstLine="480" w:firstLineChars="200"/>
              <w:rPr>
                <w:rFonts w:ascii="Times New Roman" w:hAnsi="Times New Roman" w:eastAsia="宋体" w:cs="Times New Roman"/>
              </w:rPr>
            </w:pPr>
          </w:p>
          <w:p>
            <w:pPr>
              <w:pStyle w:val="16"/>
              <w:ind w:firstLine="480" w:firstLineChars="200"/>
              <w:rPr>
                <w:rFonts w:ascii="Times New Roman" w:hAnsi="Times New Roman" w:eastAsia="宋体" w:cs="Times New Roman"/>
              </w:rPr>
            </w:pPr>
          </w:p>
          <w:p>
            <w:pPr>
              <w:pStyle w:val="16"/>
              <w:ind w:firstLine="480" w:firstLineChars="200"/>
              <w:rPr>
                <w:rFonts w:ascii="Times New Roman" w:hAnsi="Times New Roman" w:eastAsia="宋体" w:cs="Times New Roman"/>
              </w:rPr>
            </w:pPr>
          </w:p>
          <w:p>
            <w:pPr>
              <w:pStyle w:val="16"/>
              <w:ind w:firstLine="480" w:firstLineChars="200"/>
              <w:rPr>
                <w:rFonts w:ascii="Times New Roman" w:hAnsi="Times New Roman" w:eastAsia="宋体" w:cs="Times New Roman"/>
              </w:rPr>
            </w:pPr>
          </w:p>
          <w:p>
            <w:pPr>
              <w:pStyle w:val="16"/>
              <w:ind w:firstLine="480" w:firstLineChars="200"/>
              <w:rPr>
                <w:rFonts w:ascii="Times New Roman" w:hAnsi="Times New Roman" w:eastAsia="宋体" w:cs="Times New Roman"/>
              </w:rPr>
            </w:pPr>
          </w:p>
          <w:p>
            <w:pPr>
              <w:pStyle w:val="16"/>
              <w:ind w:firstLine="480" w:firstLineChars="200"/>
              <w:rPr>
                <w:rFonts w:ascii="Times New Roman" w:hAnsi="Times New Roman" w:eastAsia="宋体" w:cs="Times New Roman"/>
              </w:rPr>
            </w:pPr>
          </w:p>
          <w:p>
            <w:pPr>
              <w:pStyle w:val="16"/>
              <w:ind w:firstLine="480" w:firstLineChars="200"/>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p>
            <w:pPr>
              <w:pStyle w:val="16"/>
              <w:rPr>
                <w:rFonts w:ascii="Times New Roman" w:hAnsi="Times New Roman" w:eastAsia="宋体" w:cs="Times New Roman"/>
              </w:rPr>
            </w:pPr>
          </w:p>
        </w:tc>
      </w:tr>
    </w:tbl>
    <w:p>
      <w:pPr>
        <w:pStyle w:val="16"/>
        <w:ind w:left="480"/>
        <w:rPr>
          <w:rFonts w:ascii="Times New Roman" w:hAnsi="Times New Roman" w:eastAsia="宋体" w:cs="Times New Roman"/>
        </w:rPr>
        <w:sectPr>
          <w:pgSz w:w="11906" w:h="16838"/>
          <w:pgMar w:top="1440" w:right="1800" w:bottom="1440" w:left="1800" w:header="851" w:footer="992" w:gutter="0"/>
          <w:pgNumType w:fmt="decimal"/>
          <w:cols w:space="425" w:num="1"/>
          <w:docGrid w:type="lines" w:linePitch="312" w:charSpace="0"/>
        </w:sectPr>
      </w:pPr>
    </w:p>
    <w:p>
      <w:pPr>
        <w:pStyle w:val="7"/>
        <w:adjustRightInd w:val="0"/>
        <w:snapToGrid w:val="0"/>
        <w:ind w:firstLine="0" w:firstLineChars="0"/>
        <w:jc w:val="left"/>
        <w:outlineLvl w:val="0"/>
        <w:rPr>
          <w:rFonts w:ascii="黑体" w:hAnsi="黑体" w:eastAsia="黑体" w:cs="黑体"/>
          <w:sz w:val="30"/>
          <w:szCs w:val="30"/>
        </w:rPr>
      </w:pPr>
      <w:bookmarkStart w:id="13" w:name="_Toc140406083"/>
      <w:bookmarkStart w:id="14" w:name="_Toc134805027"/>
      <w:r>
        <w:rPr>
          <w:rFonts w:hint="eastAsia" w:ascii="黑体" w:hAnsi="黑体" w:eastAsia="黑体" w:cs="黑体"/>
          <w:sz w:val="30"/>
          <w:szCs w:val="30"/>
        </w:rPr>
        <w:t>附表</w:t>
      </w:r>
      <w:bookmarkEnd w:id="13"/>
      <w:bookmarkEnd w:id="14"/>
    </w:p>
    <w:p>
      <w:pPr>
        <w:pStyle w:val="40"/>
        <w:adjustRightInd w:val="0"/>
        <w:snapToGrid w:val="0"/>
        <w:spacing w:line="240" w:lineRule="auto"/>
        <w:ind w:firstLine="0" w:firstLineChars="0"/>
        <w:jc w:val="center"/>
        <w:rPr>
          <w:rFonts w:ascii="宋体" w:hAnsi="宋体" w:eastAsia="宋体"/>
          <w:snapToGrid w:val="0"/>
          <w:sz w:val="36"/>
          <w:szCs w:val="36"/>
        </w:rPr>
      </w:pPr>
      <w:r>
        <w:rPr>
          <w:rFonts w:ascii="宋体" w:hAnsi="宋体" w:eastAsia="宋体"/>
          <w:snapToGrid w:val="0"/>
          <w:sz w:val="36"/>
          <w:szCs w:val="36"/>
        </w:rPr>
        <w:t>建设项目污染物排放量汇总表</w:t>
      </w:r>
    </w:p>
    <w:p>
      <w:pPr>
        <w:pStyle w:val="40"/>
        <w:adjustRightInd w:val="0"/>
        <w:snapToGrid w:val="0"/>
        <w:spacing w:line="240" w:lineRule="auto"/>
        <w:ind w:right="720" w:firstLine="0" w:firstLineChars="0"/>
        <w:jc w:val="right"/>
        <w:rPr>
          <w:rFonts w:ascii="宋体" w:hAnsi="宋体" w:eastAsia="宋体"/>
          <w:b/>
          <w:bCs/>
          <w:sz w:val="32"/>
          <w:szCs w:val="32"/>
        </w:rPr>
      </w:pPr>
      <w:r>
        <w:rPr>
          <w:rFonts w:eastAsia="宋体"/>
          <w:snapToGrid w:val="0"/>
        </w:rPr>
        <w:t>单位：t/a</w:t>
      </w:r>
    </w:p>
    <w:tbl>
      <w:tblPr>
        <w:tblStyle w:val="3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2061"/>
        <w:gridCol w:w="1611"/>
        <w:gridCol w:w="1370"/>
        <w:gridCol w:w="1452"/>
        <w:gridCol w:w="1572"/>
        <w:gridCol w:w="1530"/>
        <w:gridCol w:w="1895"/>
        <w:gridCol w:w="12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Align w:val="center"/>
          </w:tcPr>
          <w:p>
            <w:pPr>
              <w:pStyle w:val="40"/>
              <w:spacing w:line="240" w:lineRule="auto"/>
              <w:ind w:firstLine="0" w:firstLineChars="0"/>
              <w:jc w:val="center"/>
              <w:rPr>
                <w:rFonts w:eastAsia="宋体"/>
                <w:sz w:val="21"/>
                <w:szCs w:val="21"/>
              </w:rPr>
            </w:pPr>
            <w:r>
              <w:rPr>
                <w:rFonts w:eastAsia="宋体"/>
                <w:sz w:val="21"/>
                <w:szCs w:val="21"/>
              </w:rPr>
              <w:t>分类</w:t>
            </w:r>
          </w:p>
          <w:p>
            <w:pPr>
              <w:pStyle w:val="40"/>
              <w:spacing w:line="240" w:lineRule="auto"/>
              <w:ind w:firstLine="0" w:firstLineChars="0"/>
              <w:jc w:val="center"/>
              <w:rPr>
                <w:rFonts w:eastAsia="宋体"/>
                <w:sz w:val="21"/>
                <w:szCs w:val="21"/>
              </w:rPr>
            </w:pPr>
            <w:r>
              <w:rPr>
                <w:rFonts w:eastAsia="宋体"/>
                <w:sz w:val="21"/>
                <w:szCs w:val="21"/>
              </w:rPr>
              <w:t>项目</w:t>
            </w:r>
          </w:p>
        </w:tc>
        <w:tc>
          <w:tcPr>
            <w:tcW w:w="2061" w:type="dxa"/>
            <w:vAlign w:val="center"/>
          </w:tcPr>
          <w:p>
            <w:pPr>
              <w:pStyle w:val="40"/>
              <w:spacing w:line="240" w:lineRule="auto"/>
              <w:ind w:firstLine="0" w:firstLineChars="0"/>
              <w:jc w:val="center"/>
              <w:rPr>
                <w:rFonts w:eastAsia="宋体"/>
                <w:sz w:val="21"/>
                <w:szCs w:val="21"/>
              </w:rPr>
            </w:pPr>
            <w:r>
              <w:rPr>
                <w:rFonts w:eastAsia="宋体"/>
                <w:sz w:val="21"/>
                <w:szCs w:val="21"/>
              </w:rPr>
              <w:t>污染物名称</w:t>
            </w:r>
          </w:p>
        </w:tc>
        <w:tc>
          <w:tcPr>
            <w:tcW w:w="1611" w:type="dxa"/>
            <w:vAlign w:val="center"/>
          </w:tcPr>
          <w:p>
            <w:pPr>
              <w:pStyle w:val="40"/>
              <w:spacing w:line="240" w:lineRule="auto"/>
              <w:ind w:firstLine="0" w:firstLineChars="0"/>
              <w:jc w:val="center"/>
              <w:rPr>
                <w:rFonts w:eastAsia="宋体"/>
                <w:sz w:val="21"/>
                <w:szCs w:val="21"/>
              </w:rPr>
            </w:pPr>
            <w:r>
              <w:rPr>
                <w:rFonts w:eastAsia="宋体"/>
                <w:sz w:val="21"/>
                <w:szCs w:val="21"/>
              </w:rPr>
              <w:t>现有工程排放量（固体废物产生量）</w:t>
            </w:r>
            <w:r>
              <w:rPr>
                <w:rFonts w:hint="eastAsia" w:ascii="宋体" w:hAnsi="宋体" w:eastAsia="宋体" w:cs="宋体"/>
                <w:sz w:val="21"/>
                <w:szCs w:val="21"/>
              </w:rPr>
              <w:t>①</w:t>
            </w:r>
          </w:p>
        </w:tc>
        <w:tc>
          <w:tcPr>
            <w:tcW w:w="1370" w:type="dxa"/>
            <w:vAlign w:val="center"/>
          </w:tcPr>
          <w:p>
            <w:pPr>
              <w:pStyle w:val="40"/>
              <w:spacing w:line="240" w:lineRule="auto"/>
              <w:ind w:firstLine="0" w:firstLineChars="0"/>
              <w:jc w:val="center"/>
              <w:rPr>
                <w:rFonts w:eastAsia="宋体"/>
                <w:sz w:val="21"/>
                <w:szCs w:val="21"/>
              </w:rPr>
            </w:pPr>
            <w:r>
              <w:rPr>
                <w:rFonts w:eastAsia="宋体"/>
                <w:sz w:val="21"/>
                <w:szCs w:val="21"/>
              </w:rPr>
              <w:t>现有工程许可排放量</w:t>
            </w:r>
            <w:r>
              <w:rPr>
                <w:rFonts w:hint="eastAsia" w:ascii="宋体" w:hAnsi="宋体" w:eastAsia="宋体" w:cs="宋体"/>
                <w:sz w:val="21"/>
                <w:szCs w:val="21"/>
              </w:rPr>
              <w:t>②</w:t>
            </w:r>
          </w:p>
        </w:tc>
        <w:tc>
          <w:tcPr>
            <w:tcW w:w="1452" w:type="dxa"/>
            <w:vAlign w:val="center"/>
          </w:tcPr>
          <w:p>
            <w:pPr>
              <w:pStyle w:val="40"/>
              <w:spacing w:line="240" w:lineRule="auto"/>
              <w:ind w:firstLine="0" w:firstLineChars="0"/>
              <w:jc w:val="center"/>
              <w:rPr>
                <w:rFonts w:eastAsia="宋体"/>
                <w:sz w:val="21"/>
                <w:szCs w:val="21"/>
              </w:rPr>
            </w:pPr>
            <w:r>
              <w:rPr>
                <w:rFonts w:eastAsia="宋体"/>
                <w:sz w:val="21"/>
                <w:szCs w:val="21"/>
              </w:rPr>
              <w:t>在建工程排放量（固体废物产生量）</w:t>
            </w:r>
            <w:r>
              <w:rPr>
                <w:rFonts w:hint="eastAsia" w:ascii="宋体" w:hAnsi="宋体" w:eastAsia="宋体" w:cs="宋体"/>
                <w:sz w:val="21"/>
                <w:szCs w:val="21"/>
              </w:rPr>
              <w:t>③</w:t>
            </w:r>
          </w:p>
        </w:tc>
        <w:tc>
          <w:tcPr>
            <w:tcW w:w="1572" w:type="dxa"/>
            <w:vAlign w:val="center"/>
          </w:tcPr>
          <w:p>
            <w:pPr>
              <w:pStyle w:val="40"/>
              <w:spacing w:line="240" w:lineRule="auto"/>
              <w:ind w:firstLine="0" w:firstLineChars="0"/>
              <w:jc w:val="center"/>
              <w:rPr>
                <w:rFonts w:eastAsia="宋体"/>
                <w:sz w:val="21"/>
                <w:szCs w:val="21"/>
              </w:rPr>
            </w:pPr>
            <w:r>
              <w:rPr>
                <w:rFonts w:eastAsia="宋体"/>
                <w:sz w:val="21"/>
                <w:szCs w:val="21"/>
              </w:rPr>
              <w:t>本项目排放量（固体废物产生量）</w:t>
            </w:r>
            <w:r>
              <w:rPr>
                <w:rFonts w:hint="eastAsia" w:ascii="宋体" w:hAnsi="宋体" w:eastAsia="宋体" w:cs="宋体"/>
                <w:sz w:val="21"/>
                <w:szCs w:val="21"/>
              </w:rPr>
              <w:t>④</w:t>
            </w:r>
          </w:p>
        </w:tc>
        <w:tc>
          <w:tcPr>
            <w:tcW w:w="1530" w:type="dxa"/>
            <w:vAlign w:val="center"/>
          </w:tcPr>
          <w:p>
            <w:pPr>
              <w:pStyle w:val="40"/>
              <w:spacing w:line="240" w:lineRule="auto"/>
              <w:ind w:firstLine="0" w:firstLineChars="0"/>
              <w:jc w:val="center"/>
              <w:rPr>
                <w:rFonts w:eastAsia="宋体"/>
                <w:sz w:val="21"/>
                <w:szCs w:val="21"/>
              </w:rPr>
            </w:pPr>
            <w:r>
              <w:rPr>
                <w:rFonts w:eastAsia="宋体"/>
                <w:sz w:val="21"/>
                <w:szCs w:val="21"/>
              </w:rPr>
              <w:t>以新带老削减量（新建项目不填）</w:t>
            </w:r>
            <w:r>
              <w:rPr>
                <w:rFonts w:hint="eastAsia" w:ascii="宋体" w:hAnsi="宋体" w:eastAsia="宋体" w:cs="宋体"/>
                <w:sz w:val="21"/>
                <w:szCs w:val="21"/>
              </w:rPr>
              <w:t>⑤</w:t>
            </w:r>
          </w:p>
        </w:tc>
        <w:tc>
          <w:tcPr>
            <w:tcW w:w="1895" w:type="dxa"/>
            <w:vAlign w:val="center"/>
          </w:tcPr>
          <w:p>
            <w:pPr>
              <w:pStyle w:val="40"/>
              <w:spacing w:line="240" w:lineRule="auto"/>
              <w:ind w:firstLine="0" w:firstLineChars="0"/>
              <w:jc w:val="center"/>
              <w:rPr>
                <w:rFonts w:eastAsia="宋体"/>
                <w:sz w:val="21"/>
                <w:szCs w:val="21"/>
              </w:rPr>
            </w:pPr>
            <w:r>
              <w:rPr>
                <w:rFonts w:eastAsia="宋体"/>
                <w:sz w:val="21"/>
                <w:szCs w:val="21"/>
              </w:rPr>
              <w:t>本项目建成后全厂排放量（固体废物产生量）</w:t>
            </w:r>
            <w:r>
              <w:rPr>
                <w:rFonts w:hint="eastAsia" w:ascii="宋体" w:hAnsi="宋体" w:eastAsia="宋体" w:cs="宋体"/>
                <w:sz w:val="21"/>
                <w:szCs w:val="21"/>
              </w:rPr>
              <w:t>⑥</w:t>
            </w:r>
          </w:p>
        </w:tc>
        <w:tc>
          <w:tcPr>
            <w:tcW w:w="1252" w:type="dxa"/>
            <w:vAlign w:val="center"/>
          </w:tcPr>
          <w:p>
            <w:pPr>
              <w:pStyle w:val="40"/>
              <w:spacing w:line="240" w:lineRule="auto"/>
              <w:ind w:firstLine="0" w:firstLineChars="0"/>
              <w:jc w:val="center"/>
              <w:rPr>
                <w:rFonts w:eastAsia="宋体"/>
                <w:sz w:val="21"/>
                <w:szCs w:val="21"/>
              </w:rPr>
            </w:pPr>
            <w:r>
              <w:rPr>
                <w:rFonts w:eastAsia="宋体"/>
                <w:sz w:val="21"/>
                <w:szCs w:val="21"/>
              </w:rPr>
              <w:t>变化量</w:t>
            </w:r>
            <w:r>
              <w:rPr>
                <w:rFonts w:hint="eastAsia" w:ascii="宋体" w:hAnsi="宋体" w:eastAsia="宋体" w:cs="宋体"/>
                <w:sz w:val="21"/>
                <w:szCs w:val="21"/>
              </w:rPr>
              <w:t>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Merge w:val="restart"/>
            <w:vAlign w:val="center"/>
          </w:tcPr>
          <w:p>
            <w:pPr>
              <w:pStyle w:val="40"/>
              <w:spacing w:line="240" w:lineRule="auto"/>
              <w:ind w:firstLine="0" w:firstLineChars="0"/>
              <w:jc w:val="center"/>
              <w:rPr>
                <w:rFonts w:eastAsia="宋体"/>
                <w:sz w:val="21"/>
                <w:szCs w:val="21"/>
              </w:rPr>
            </w:pPr>
            <w:r>
              <w:rPr>
                <w:rFonts w:eastAsia="宋体"/>
                <w:sz w:val="21"/>
                <w:szCs w:val="21"/>
              </w:rPr>
              <w:t>废气</w:t>
            </w:r>
          </w:p>
        </w:tc>
        <w:tc>
          <w:tcPr>
            <w:tcW w:w="2061" w:type="dxa"/>
            <w:vAlign w:val="center"/>
          </w:tcPr>
          <w:p>
            <w:pPr>
              <w:pStyle w:val="164"/>
              <w:adjustRightInd w:val="0"/>
              <w:snapToGrid w:val="0"/>
              <w:spacing w:line="240" w:lineRule="auto"/>
              <w:rPr>
                <w:rFonts w:ascii="Times New Roman" w:hAnsi="Times New Roman" w:cs="Times New Roman"/>
                <w:szCs w:val="21"/>
              </w:rPr>
            </w:pPr>
            <w:r>
              <w:rPr>
                <w:szCs w:val="21"/>
              </w:rPr>
              <w:t>CO</w:t>
            </w:r>
          </w:p>
        </w:tc>
        <w:tc>
          <w:tcPr>
            <w:tcW w:w="1611" w:type="dxa"/>
          </w:tcPr>
          <w:p>
            <w:pPr>
              <w:spacing w:line="240" w:lineRule="auto"/>
              <w:jc w:val="center"/>
              <w:rPr>
                <w:rFonts w:eastAsia="宋体"/>
                <w:sz w:val="21"/>
                <w:szCs w:val="21"/>
              </w:rPr>
            </w:pPr>
            <w:r>
              <w:rPr>
                <w:rFonts w:hint="eastAsia" w:eastAsia="宋体"/>
                <w:sz w:val="21"/>
                <w:szCs w:val="21"/>
              </w:rPr>
              <w:t>-</w:t>
            </w:r>
          </w:p>
        </w:tc>
        <w:tc>
          <w:tcPr>
            <w:tcW w:w="1370" w:type="dxa"/>
          </w:tcPr>
          <w:p>
            <w:pPr>
              <w:spacing w:line="240" w:lineRule="auto"/>
              <w:jc w:val="center"/>
              <w:rPr>
                <w:rFonts w:eastAsia="宋体"/>
                <w:sz w:val="21"/>
                <w:szCs w:val="21"/>
              </w:rPr>
            </w:pPr>
            <w:r>
              <w:rPr>
                <w:rFonts w:hint="eastAsia" w:eastAsia="宋体"/>
                <w:sz w:val="21"/>
                <w:szCs w:val="21"/>
              </w:rPr>
              <w:t>-</w:t>
            </w:r>
          </w:p>
        </w:tc>
        <w:tc>
          <w:tcPr>
            <w:tcW w:w="1452" w:type="dxa"/>
          </w:tcPr>
          <w:p>
            <w:pPr>
              <w:spacing w:line="240" w:lineRule="auto"/>
              <w:jc w:val="center"/>
              <w:rPr>
                <w:rFonts w:eastAsia="宋体"/>
                <w:sz w:val="21"/>
                <w:szCs w:val="21"/>
              </w:rPr>
            </w:pPr>
            <w:r>
              <w:rPr>
                <w:rFonts w:hint="eastAsia" w:eastAsia="宋体"/>
                <w:sz w:val="21"/>
                <w:szCs w:val="21"/>
              </w:rPr>
              <w:t>-</w:t>
            </w:r>
          </w:p>
        </w:tc>
        <w:tc>
          <w:tcPr>
            <w:tcW w:w="1572" w:type="dxa"/>
            <w:vAlign w:val="center"/>
          </w:tcPr>
          <w:p>
            <w:pPr>
              <w:pStyle w:val="40"/>
              <w:spacing w:line="240" w:lineRule="auto"/>
              <w:ind w:firstLine="0" w:firstLineChars="0"/>
              <w:jc w:val="center"/>
              <w:rPr>
                <w:rFonts w:eastAsia="宋体"/>
                <w:sz w:val="21"/>
                <w:szCs w:val="21"/>
              </w:rPr>
            </w:pPr>
            <w:r>
              <w:rPr>
                <w:rFonts w:hint="eastAsia" w:eastAsia="宋体"/>
                <w:sz w:val="21"/>
                <w:szCs w:val="21"/>
              </w:rPr>
              <w:t>0.87</w:t>
            </w:r>
          </w:p>
        </w:tc>
        <w:tc>
          <w:tcPr>
            <w:tcW w:w="1530" w:type="dxa"/>
            <w:vAlign w:val="center"/>
          </w:tcPr>
          <w:p>
            <w:pPr>
              <w:spacing w:line="240" w:lineRule="auto"/>
              <w:jc w:val="center"/>
              <w:rPr>
                <w:rFonts w:eastAsia="宋体"/>
                <w:sz w:val="21"/>
                <w:szCs w:val="21"/>
              </w:rPr>
            </w:pPr>
            <w:r>
              <w:rPr>
                <w:rFonts w:hint="eastAsia" w:eastAsia="宋体"/>
                <w:sz w:val="21"/>
                <w:szCs w:val="21"/>
              </w:rPr>
              <w:t>0</w:t>
            </w:r>
          </w:p>
        </w:tc>
        <w:tc>
          <w:tcPr>
            <w:tcW w:w="1895" w:type="dxa"/>
            <w:vAlign w:val="center"/>
          </w:tcPr>
          <w:p>
            <w:pPr>
              <w:pStyle w:val="40"/>
              <w:spacing w:line="240" w:lineRule="auto"/>
              <w:ind w:firstLine="0" w:firstLineChars="0"/>
              <w:jc w:val="center"/>
              <w:rPr>
                <w:rFonts w:eastAsia="宋体"/>
                <w:sz w:val="21"/>
                <w:szCs w:val="21"/>
              </w:rPr>
            </w:pPr>
            <w:r>
              <w:rPr>
                <w:rFonts w:hint="eastAsia" w:eastAsia="宋体"/>
                <w:sz w:val="21"/>
                <w:szCs w:val="21"/>
              </w:rPr>
              <w:t>0.87</w:t>
            </w:r>
          </w:p>
        </w:tc>
        <w:tc>
          <w:tcPr>
            <w:tcW w:w="1252" w:type="dxa"/>
            <w:vAlign w:val="center"/>
          </w:tcPr>
          <w:p>
            <w:pPr>
              <w:pStyle w:val="40"/>
              <w:spacing w:line="240" w:lineRule="auto"/>
              <w:ind w:firstLine="0" w:firstLineChars="0"/>
              <w:jc w:val="center"/>
              <w:rPr>
                <w:rFonts w:eastAsia="宋体"/>
                <w:sz w:val="21"/>
                <w:szCs w:val="21"/>
              </w:rPr>
            </w:pPr>
            <w:r>
              <w:rPr>
                <w:rFonts w:hint="eastAsia" w:eastAsia="宋体"/>
                <w:sz w:val="21"/>
                <w:szCs w:val="21"/>
              </w:rPr>
              <w:t>0.87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Merge w:val="continue"/>
            <w:vAlign w:val="center"/>
          </w:tcPr>
          <w:p>
            <w:pPr>
              <w:pStyle w:val="40"/>
              <w:spacing w:line="240" w:lineRule="auto"/>
              <w:ind w:firstLine="0" w:firstLineChars="0"/>
              <w:jc w:val="center"/>
              <w:rPr>
                <w:rFonts w:eastAsia="宋体"/>
                <w:sz w:val="21"/>
                <w:szCs w:val="21"/>
              </w:rPr>
            </w:pPr>
          </w:p>
        </w:tc>
        <w:tc>
          <w:tcPr>
            <w:tcW w:w="2061" w:type="dxa"/>
            <w:vAlign w:val="center"/>
          </w:tcPr>
          <w:p>
            <w:pPr>
              <w:adjustRightInd w:val="0"/>
              <w:snapToGrid w:val="0"/>
              <w:spacing w:line="240" w:lineRule="auto"/>
              <w:jc w:val="center"/>
              <w:rPr>
                <w:rFonts w:eastAsia="宋体"/>
                <w:sz w:val="21"/>
                <w:szCs w:val="21"/>
              </w:rPr>
            </w:pPr>
            <w:r>
              <w:rPr>
                <w:rFonts w:eastAsia="宋体"/>
                <w:sz w:val="21"/>
                <w:szCs w:val="21"/>
              </w:rPr>
              <w:t>HC</w:t>
            </w:r>
          </w:p>
        </w:tc>
        <w:tc>
          <w:tcPr>
            <w:tcW w:w="1611" w:type="dxa"/>
          </w:tcPr>
          <w:p>
            <w:pPr>
              <w:spacing w:line="240" w:lineRule="auto"/>
              <w:jc w:val="center"/>
              <w:rPr>
                <w:rFonts w:eastAsia="宋体"/>
                <w:sz w:val="21"/>
                <w:szCs w:val="21"/>
              </w:rPr>
            </w:pPr>
            <w:r>
              <w:rPr>
                <w:rFonts w:hint="eastAsia" w:eastAsia="宋体"/>
                <w:sz w:val="21"/>
                <w:szCs w:val="21"/>
              </w:rPr>
              <w:t>-</w:t>
            </w:r>
          </w:p>
        </w:tc>
        <w:tc>
          <w:tcPr>
            <w:tcW w:w="1370" w:type="dxa"/>
          </w:tcPr>
          <w:p>
            <w:pPr>
              <w:spacing w:line="240" w:lineRule="auto"/>
              <w:jc w:val="center"/>
              <w:rPr>
                <w:rFonts w:eastAsia="宋体"/>
                <w:sz w:val="21"/>
                <w:szCs w:val="21"/>
              </w:rPr>
            </w:pPr>
            <w:r>
              <w:rPr>
                <w:rFonts w:hint="eastAsia" w:eastAsia="宋体"/>
                <w:sz w:val="21"/>
                <w:szCs w:val="21"/>
              </w:rPr>
              <w:t>-</w:t>
            </w:r>
          </w:p>
        </w:tc>
        <w:tc>
          <w:tcPr>
            <w:tcW w:w="1452" w:type="dxa"/>
          </w:tcPr>
          <w:p>
            <w:pPr>
              <w:spacing w:line="240" w:lineRule="auto"/>
              <w:jc w:val="center"/>
              <w:rPr>
                <w:rFonts w:eastAsia="宋体"/>
                <w:sz w:val="21"/>
                <w:szCs w:val="21"/>
              </w:rPr>
            </w:pPr>
            <w:r>
              <w:rPr>
                <w:rFonts w:hint="eastAsia" w:eastAsia="宋体"/>
                <w:sz w:val="21"/>
                <w:szCs w:val="21"/>
              </w:rPr>
              <w:t>-</w:t>
            </w:r>
          </w:p>
        </w:tc>
        <w:tc>
          <w:tcPr>
            <w:tcW w:w="1572" w:type="dxa"/>
            <w:vAlign w:val="center"/>
          </w:tcPr>
          <w:p>
            <w:pPr>
              <w:pStyle w:val="40"/>
              <w:spacing w:line="240" w:lineRule="auto"/>
              <w:ind w:firstLine="0" w:firstLineChars="0"/>
              <w:jc w:val="center"/>
              <w:rPr>
                <w:rFonts w:eastAsia="宋体"/>
                <w:sz w:val="21"/>
                <w:szCs w:val="21"/>
              </w:rPr>
            </w:pPr>
            <w:r>
              <w:rPr>
                <w:rFonts w:hint="eastAsia" w:eastAsia="宋体"/>
                <w:sz w:val="21"/>
                <w:szCs w:val="21"/>
              </w:rPr>
              <w:t>0</w:t>
            </w:r>
            <w:r>
              <w:rPr>
                <w:rFonts w:eastAsia="宋体"/>
                <w:sz w:val="21"/>
                <w:szCs w:val="21"/>
              </w:rPr>
              <w:t>.01</w:t>
            </w:r>
          </w:p>
        </w:tc>
        <w:tc>
          <w:tcPr>
            <w:tcW w:w="1530" w:type="dxa"/>
            <w:vAlign w:val="center"/>
          </w:tcPr>
          <w:p>
            <w:pPr>
              <w:spacing w:line="240" w:lineRule="auto"/>
              <w:jc w:val="center"/>
              <w:rPr>
                <w:rFonts w:eastAsia="宋体"/>
                <w:sz w:val="21"/>
                <w:szCs w:val="21"/>
              </w:rPr>
            </w:pPr>
            <w:r>
              <w:rPr>
                <w:rFonts w:hint="eastAsia" w:eastAsia="宋体"/>
                <w:sz w:val="21"/>
                <w:szCs w:val="21"/>
              </w:rPr>
              <w:t>0</w:t>
            </w:r>
          </w:p>
        </w:tc>
        <w:tc>
          <w:tcPr>
            <w:tcW w:w="1895" w:type="dxa"/>
            <w:vAlign w:val="center"/>
          </w:tcPr>
          <w:p>
            <w:pPr>
              <w:pStyle w:val="40"/>
              <w:spacing w:line="240" w:lineRule="auto"/>
              <w:ind w:firstLine="0" w:firstLineChars="0"/>
              <w:jc w:val="center"/>
              <w:rPr>
                <w:rFonts w:eastAsia="宋体"/>
                <w:sz w:val="21"/>
                <w:szCs w:val="21"/>
              </w:rPr>
            </w:pPr>
            <w:r>
              <w:rPr>
                <w:rFonts w:hint="eastAsia" w:eastAsia="宋体"/>
                <w:sz w:val="21"/>
                <w:szCs w:val="21"/>
              </w:rPr>
              <w:t>0</w:t>
            </w:r>
            <w:r>
              <w:rPr>
                <w:rFonts w:eastAsia="宋体"/>
                <w:sz w:val="21"/>
                <w:szCs w:val="21"/>
              </w:rPr>
              <w:t>.01</w:t>
            </w:r>
          </w:p>
        </w:tc>
        <w:tc>
          <w:tcPr>
            <w:tcW w:w="1252" w:type="dxa"/>
            <w:vAlign w:val="center"/>
          </w:tcPr>
          <w:p>
            <w:pPr>
              <w:pStyle w:val="40"/>
              <w:spacing w:line="240" w:lineRule="auto"/>
              <w:ind w:firstLine="0" w:firstLineChars="0"/>
              <w:jc w:val="center"/>
              <w:rPr>
                <w:rFonts w:eastAsia="宋体"/>
                <w:sz w:val="21"/>
                <w:szCs w:val="21"/>
              </w:rPr>
            </w:pPr>
            <w:r>
              <w:rPr>
                <w:rFonts w:hint="eastAsia" w:eastAsia="宋体"/>
                <w:sz w:val="21"/>
                <w:szCs w:val="21"/>
              </w:rPr>
              <w:t>0</w:t>
            </w:r>
            <w:r>
              <w:rPr>
                <w:rFonts w:eastAsia="宋体"/>
                <w:sz w:val="21"/>
                <w:szCs w:val="21"/>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Merge w:val="continue"/>
            <w:vAlign w:val="center"/>
          </w:tcPr>
          <w:p>
            <w:pPr>
              <w:pStyle w:val="40"/>
              <w:spacing w:line="240" w:lineRule="auto"/>
              <w:ind w:firstLine="0" w:firstLineChars="0"/>
              <w:jc w:val="center"/>
              <w:rPr>
                <w:rFonts w:eastAsia="宋体"/>
                <w:sz w:val="21"/>
                <w:szCs w:val="21"/>
              </w:rPr>
            </w:pPr>
          </w:p>
        </w:tc>
        <w:tc>
          <w:tcPr>
            <w:tcW w:w="2061" w:type="dxa"/>
            <w:vAlign w:val="center"/>
          </w:tcPr>
          <w:p>
            <w:pPr>
              <w:adjustRightInd w:val="0"/>
              <w:snapToGrid w:val="0"/>
              <w:spacing w:line="240" w:lineRule="auto"/>
              <w:jc w:val="center"/>
              <w:rPr>
                <w:rFonts w:eastAsia="宋体"/>
                <w:sz w:val="21"/>
                <w:szCs w:val="21"/>
              </w:rPr>
            </w:pPr>
            <w:r>
              <w:rPr>
                <w:rFonts w:eastAsia="宋体"/>
                <w:sz w:val="21"/>
                <w:szCs w:val="21"/>
              </w:rPr>
              <w:t>NO</w:t>
            </w:r>
            <w:r>
              <w:rPr>
                <w:rFonts w:eastAsia="宋体"/>
                <w:sz w:val="21"/>
                <w:szCs w:val="21"/>
                <w:vertAlign w:val="subscript"/>
              </w:rPr>
              <w:t>2</w:t>
            </w:r>
          </w:p>
        </w:tc>
        <w:tc>
          <w:tcPr>
            <w:tcW w:w="1611" w:type="dxa"/>
          </w:tcPr>
          <w:p>
            <w:pPr>
              <w:spacing w:line="240" w:lineRule="auto"/>
              <w:jc w:val="center"/>
              <w:rPr>
                <w:rFonts w:eastAsia="宋体"/>
                <w:sz w:val="21"/>
                <w:szCs w:val="21"/>
              </w:rPr>
            </w:pPr>
            <w:r>
              <w:rPr>
                <w:rFonts w:hint="eastAsia" w:eastAsia="宋体"/>
                <w:sz w:val="21"/>
                <w:szCs w:val="21"/>
              </w:rPr>
              <w:t>-</w:t>
            </w:r>
          </w:p>
        </w:tc>
        <w:tc>
          <w:tcPr>
            <w:tcW w:w="1370" w:type="dxa"/>
          </w:tcPr>
          <w:p>
            <w:pPr>
              <w:spacing w:line="240" w:lineRule="auto"/>
              <w:jc w:val="center"/>
              <w:rPr>
                <w:rFonts w:eastAsia="宋体"/>
                <w:sz w:val="21"/>
                <w:szCs w:val="21"/>
              </w:rPr>
            </w:pPr>
            <w:r>
              <w:rPr>
                <w:rFonts w:hint="eastAsia" w:eastAsia="宋体"/>
                <w:sz w:val="21"/>
                <w:szCs w:val="21"/>
              </w:rPr>
              <w:t>-</w:t>
            </w:r>
          </w:p>
        </w:tc>
        <w:tc>
          <w:tcPr>
            <w:tcW w:w="1452" w:type="dxa"/>
          </w:tcPr>
          <w:p>
            <w:pPr>
              <w:spacing w:line="240" w:lineRule="auto"/>
              <w:jc w:val="center"/>
              <w:rPr>
                <w:rFonts w:eastAsia="宋体"/>
                <w:sz w:val="21"/>
                <w:szCs w:val="21"/>
              </w:rPr>
            </w:pPr>
            <w:r>
              <w:rPr>
                <w:rFonts w:hint="eastAsia" w:eastAsia="宋体"/>
                <w:sz w:val="21"/>
                <w:szCs w:val="21"/>
              </w:rPr>
              <w:t>-</w:t>
            </w:r>
          </w:p>
        </w:tc>
        <w:tc>
          <w:tcPr>
            <w:tcW w:w="1572" w:type="dxa"/>
            <w:vAlign w:val="center"/>
          </w:tcPr>
          <w:p>
            <w:pPr>
              <w:pStyle w:val="40"/>
              <w:spacing w:line="240" w:lineRule="auto"/>
              <w:ind w:firstLine="0" w:firstLineChars="0"/>
              <w:jc w:val="center"/>
              <w:rPr>
                <w:rFonts w:eastAsia="宋体"/>
                <w:sz w:val="21"/>
                <w:szCs w:val="21"/>
              </w:rPr>
            </w:pPr>
            <w:r>
              <w:rPr>
                <w:rFonts w:hint="eastAsia" w:eastAsia="宋体"/>
                <w:sz w:val="21"/>
                <w:szCs w:val="21"/>
              </w:rPr>
              <w:t>0</w:t>
            </w:r>
            <w:r>
              <w:rPr>
                <w:rFonts w:eastAsia="宋体"/>
                <w:sz w:val="21"/>
                <w:szCs w:val="21"/>
              </w:rPr>
              <w:t>.02</w:t>
            </w:r>
          </w:p>
        </w:tc>
        <w:tc>
          <w:tcPr>
            <w:tcW w:w="1530" w:type="dxa"/>
            <w:vAlign w:val="center"/>
          </w:tcPr>
          <w:p>
            <w:pPr>
              <w:spacing w:line="240" w:lineRule="auto"/>
              <w:jc w:val="center"/>
              <w:rPr>
                <w:rFonts w:eastAsia="宋体"/>
                <w:sz w:val="21"/>
                <w:szCs w:val="21"/>
              </w:rPr>
            </w:pPr>
            <w:r>
              <w:rPr>
                <w:rFonts w:hint="eastAsia" w:eastAsia="宋体"/>
                <w:sz w:val="21"/>
                <w:szCs w:val="21"/>
              </w:rPr>
              <w:t>0</w:t>
            </w:r>
          </w:p>
        </w:tc>
        <w:tc>
          <w:tcPr>
            <w:tcW w:w="1895" w:type="dxa"/>
            <w:vAlign w:val="center"/>
          </w:tcPr>
          <w:p>
            <w:pPr>
              <w:pStyle w:val="40"/>
              <w:spacing w:line="240" w:lineRule="auto"/>
              <w:ind w:firstLine="0" w:firstLineChars="0"/>
              <w:jc w:val="center"/>
              <w:rPr>
                <w:rFonts w:eastAsia="宋体"/>
                <w:sz w:val="21"/>
                <w:szCs w:val="21"/>
              </w:rPr>
            </w:pPr>
            <w:r>
              <w:rPr>
                <w:rFonts w:hint="eastAsia" w:eastAsia="宋体"/>
                <w:sz w:val="21"/>
                <w:szCs w:val="21"/>
              </w:rPr>
              <w:t>0</w:t>
            </w:r>
            <w:r>
              <w:rPr>
                <w:rFonts w:eastAsia="宋体"/>
                <w:sz w:val="21"/>
                <w:szCs w:val="21"/>
              </w:rPr>
              <w:t>.02</w:t>
            </w:r>
          </w:p>
        </w:tc>
        <w:tc>
          <w:tcPr>
            <w:tcW w:w="1252" w:type="dxa"/>
            <w:vAlign w:val="center"/>
          </w:tcPr>
          <w:p>
            <w:pPr>
              <w:pStyle w:val="40"/>
              <w:spacing w:line="240" w:lineRule="auto"/>
              <w:ind w:firstLine="0" w:firstLineChars="0"/>
              <w:jc w:val="center"/>
              <w:rPr>
                <w:rFonts w:eastAsia="宋体"/>
                <w:sz w:val="21"/>
                <w:szCs w:val="21"/>
              </w:rPr>
            </w:pPr>
            <w:r>
              <w:rPr>
                <w:rFonts w:hint="eastAsia" w:eastAsia="宋体"/>
                <w:sz w:val="21"/>
                <w:szCs w:val="21"/>
              </w:rPr>
              <w:t>0</w:t>
            </w:r>
            <w:r>
              <w:rPr>
                <w:rFonts w:eastAsia="宋体"/>
                <w:sz w:val="21"/>
                <w:szCs w:val="21"/>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Merge w:val="continue"/>
            <w:vAlign w:val="center"/>
          </w:tcPr>
          <w:p>
            <w:pPr>
              <w:pStyle w:val="40"/>
              <w:spacing w:line="240" w:lineRule="auto"/>
              <w:ind w:firstLine="0" w:firstLineChars="0"/>
              <w:jc w:val="center"/>
              <w:rPr>
                <w:rFonts w:eastAsia="宋体"/>
                <w:sz w:val="21"/>
                <w:szCs w:val="21"/>
              </w:rPr>
            </w:pPr>
          </w:p>
        </w:tc>
        <w:tc>
          <w:tcPr>
            <w:tcW w:w="2061" w:type="dxa"/>
            <w:vAlign w:val="center"/>
          </w:tcPr>
          <w:p>
            <w:pPr>
              <w:adjustRightInd w:val="0"/>
              <w:snapToGrid w:val="0"/>
              <w:spacing w:line="240" w:lineRule="auto"/>
              <w:jc w:val="center"/>
              <w:rPr>
                <w:rFonts w:eastAsia="宋体"/>
                <w:bCs/>
                <w:sz w:val="21"/>
                <w:szCs w:val="21"/>
              </w:rPr>
            </w:pPr>
            <w:r>
              <w:rPr>
                <w:rFonts w:hint="eastAsia" w:eastAsia="宋体"/>
                <w:bCs/>
                <w:sz w:val="21"/>
                <w:szCs w:val="21"/>
              </w:rPr>
              <w:t>油烟</w:t>
            </w:r>
          </w:p>
        </w:tc>
        <w:tc>
          <w:tcPr>
            <w:tcW w:w="1611" w:type="dxa"/>
          </w:tcPr>
          <w:p>
            <w:pPr>
              <w:spacing w:line="240" w:lineRule="auto"/>
              <w:jc w:val="center"/>
              <w:rPr>
                <w:rFonts w:eastAsia="宋体"/>
                <w:sz w:val="21"/>
                <w:szCs w:val="21"/>
              </w:rPr>
            </w:pPr>
            <w:r>
              <w:rPr>
                <w:rFonts w:hint="eastAsia" w:eastAsia="宋体"/>
                <w:sz w:val="21"/>
                <w:szCs w:val="21"/>
              </w:rPr>
              <w:t>-</w:t>
            </w:r>
          </w:p>
        </w:tc>
        <w:tc>
          <w:tcPr>
            <w:tcW w:w="1370" w:type="dxa"/>
          </w:tcPr>
          <w:p>
            <w:pPr>
              <w:spacing w:line="240" w:lineRule="auto"/>
              <w:jc w:val="center"/>
              <w:rPr>
                <w:rFonts w:eastAsia="宋体"/>
                <w:sz w:val="21"/>
                <w:szCs w:val="21"/>
              </w:rPr>
            </w:pPr>
            <w:r>
              <w:rPr>
                <w:rFonts w:hint="eastAsia" w:eastAsia="宋体"/>
                <w:sz w:val="21"/>
                <w:szCs w:val="21"/>
              </w:rPr>
              <w:t>-</w:t>
            </w:r>
          </w:p>
        </w:tc>
        <w:tc>
          <w:tcPr>
            <w:tcW w:w="1452" w:type="dxa"/>
          </w:tcPr>
          <w:p>
            <w:pPr>
              <w:spacing w:line="240" w:lineRule="auto"/>
              <w:jc w:val="center"/>
              <w:rPr>
                <w:rFonts w:eastAsia="宋体"/>
                <w:sz w:val="21"/>
                <w:szCs w:val="21"/>
              </w:rPr>
            </w:pPr>
            <w:r>
              <w:rPr>
                <w:rFonts w:hint="eastAsia" w:eastAsia="宋体"/>
                <w:sz w:val="21"/>
                <w:szCs w:val="21"/>
              </w:rPr>
              <w:t>-</w:t>
            </w:r>
          </w:p>
        </w:tc>
        <w:tc>
          <w:tcPr>
            <w:tcW w:w="1572" w:type="dxa"/>
            <w:vAlign w:val="center"/>
          </w:tcPr>
          <w:p>
            <w:pPr>
              <w:pStyle w:val="40"/>
              <w:spacing w:line="240" w:lineRule="auto"/>
              <w:ind w:firstLine="0" w:firstLineChars="0"/>
              <w:jc w:val="center"/>
              <w:rPr>
                <w:rFonts w:eastAsia="宋体"/>
                <w:sz w:val="21"/>
                <w:szCs w:val="21"/>
              </w:rPr>
            </w:pPr>
            <w:r>
              <w:rPr>
                <w:rFonts w:hint="eastAsia" w:eastAsia="宋体"/>
                <w:sz w:val="21"/>
                <w:szCs w:val="21"/>
              </w:rPr>
              <w:t>0.073</w:t>
            </w:r>
          </w:p>
        </w:tc>
        <w:tc>
          <w:tcPr>
            <w:tcW w:w="1530" w:type="dxa"/>
            <w:vAlign w:val="center"/>
          </w:tcPr>
          <w:p>
            <w:pPr>
              <w:spacing w:line="240" w:lineRule="auto"/>
              <w:jc w:val="center"/>
              <w:rPr>
                <w:rFonts w:eastAsia="宋体"/>
                <w:sz w:val="21"/>
                <w:szCs w:val="21"/>
              </w:rPr>
            </w:pPr>
            <w:r>
              <w:rPr>
                <w:rFonts w:hint="eastAsia" w:eastAsia="宋体"/>
                <w:sz w:val="21"/>
                <w:szCs w:val="21"/>
              </w:rPr>
              <w:t>0</w:t>
            </w:r>
          </w:p>
        </w:tc>
        <w:tc>
          <w:tcPr>
            <w:tcW w:w="1895" w:type="dxa"/>
            <w:vAlign w:val="center"/>
          </w:tcPr>
          <w:p>
            <w:pPr>
              <w:pStyle w:val="40"/>
              <w:spacing w:line="240" w:lineRule="auto"/>
              <w:ind w:firstLine="0" w:firstLineChars="0"/>
              <w:jc w:val="center"/>
              <w:rPr>
                <w:rFonts w:eastAsia="宋体"/>
                <w:sz w:val="21"/>
                <w:szCs w:val="21"/>
              </w:rPr>
            </w:pPr>
            <w:r>
              <w:rPr>
                <w:rFonts w:hint="eastAsia" w:eastAsia="宋体"/>
                <w:sz w:val="21"/>
                <w:szCs w:val="21"/>
              </w:rPr>
              <w:t>0.073</w:t>
            </w:r>
          </w:p>
        </w:tc>
        <w:tc>
          <w:tcPr>
            <w:tcW w:w="1252" w:type="dxa"/>
            <w:vAlign w:val="center"/>
          </w:tcPr>
          <w:p>
            <w:pPr>
              <w:pStyle w:val="40"/>
              <w:spacing w:line="240" w:lineRule="auto"/>
              <w:ind w:firstLine="0" w:firstLineChars="0"/>
              <w:jc w:val="center"/>
              <w:rPr>
                <w:rFonts w:eastAsia="宋体"/>
                <w:sz w:val="21"/>
                <w:szCs w:val="21"/>
              </w:rPr>
            </w:pPr>
            <w:r>
              <w:rPr>
                <w:rFonts w:hint="eastAsia" w:eastAsia="宋体"/>
                <w:sz w:val="21"/>
                <w:szCs w:val="21"/>
              </w:rPr>
              <w:t>0.073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Merge w:val="restart"/>
            <w:vAlign w:val="center"/>
          </w:tcPr>
          <w:p>
            <w:pPr>
              <w:pStyle w:val="40"/>
              <w:spacing w:line="240" w:lineRule="auto"/>
              <w:ind w:firstLine="0" w:firstLineChars="0"/>
              <w:jc w:val="center"/>
              <w:rPr>
                <w:rFonts w:eastAsia="宋体"/>
                <w:sz w:val="21"/>
                <w:szCs w:val="21"/>
              </w:rPr>
            </w:pPr>
            <w:r>
              <w:rPr>
                <w:rFonts w:eastAsia="宋体"/>
                <w:sz w:val="21"/>
                <w:szCs w:val="21"/>
              </w:rPr>
              <w:t>废水</w:t>
            </w:r>
          </w:p>
        </w:tc>
        <w:tc>
          <w:tcPr>
            <w:tcW w:w="2061" w:type="dxa"/>
            <w:vAlign w:val="center"/>
          </w:tcPr>
          <w:p>
            <w:pPr>
              <w:adjustRightInd w:val="0"/>
              <w:snapToGrid w:val="0"/>
              <w:spacing w:line="240" w:lineRule="auto"/>
              <w:jc w:val="center"/>
              <w:rPr>
                <w:rFonts w:eastAsia="宋体"/>
                <w:bCs/>
                <w:sz w:val="21"/>
                <w:szCs w:val="21"/>
              </w:rPr>
            </w:pPr>
            <w:r>
              <w:rPr>
                <w:rFonts w:hint="eastAsia" w:eastAsia="宋体"/>
                <w:bCs/>
                <w:sz w:val="21"/>
                <w:szCs w:val="21"/>
              </w:rPr>
              <w:t>废水量</w:t>
            </w:r>
          </w:p>
        </w:tc>
        <w:tc>
          <w:tcPr>
            <w:tcW w:w="1611" w:type="dxa"/>
          </w:tcPr>
          <w:p>
            <w:pPr>
              <w:spacing w:line="240" w:lineRule="auto"/>
              <w:jc w:val="center"/>
              <w:rPr>
                <w:rFonts w:eastAsia="宋体"/>
                <w:sz w:val="21"/>
                <w:szCs w:val="21"/>
              </w:rPr>
            </w:pPr>
            <w:r>
              <w:rPr>
                <w:rFonts w:hint="eastAsia" w:eastAsia="宋体"/>
                <w:sz w:val="21"/>
                <w:szCs w:val="21"/>
              </w:rPr>
              <w:t>-</w:t>
            </w:r>
          </w:p>
        </w:tc>
        <w:tc>
          <w:tcPr>
            <w:tcW w:w="1370" w:type="dxa"/>
          </w:tcPr>
          <w:p>
            <w:pPr>
              <w:spacing w:line="240" w:lineRule="auto"/>
              <w:jc w:val="center"/>
              <w:rPr>
                <w:rFonts w:eastAsia="宋体"/>
                <w:sz w:val="21"/>
                <w:szCs w:val="21"/>
              </w:rPr>
            </w:pPr>
            <w:r>
              <w:rPr>
                <w:rFonts w:hint="eastAsia" w:eastAsia="宋体"/>
                <w:sz w:val="21"/>
                <w:szCs w:val="21"/>
              </w:rPr>
              <w:t>-</w:t>
            </w:r>
          </w:p>
        </w:tc>
        <w:tc>
          <w:tcPr>
            <w:tcW w:w="1452" w:type="dxa"/>
          </w:tcPr>
          <w:p>
            <w:pPr>
              <w:spacing w:line="240" w:lineRule="auto"/>
              <w:jc w:val="center"/>
              <w:rPr>
                <w:rFonts w:eastAsia="宋体"/>
                <w:sz w:val="21"/>
                <w:szCs w:val="21"/>
              </w:rPr>
            </w:pPr>
            <w:r>
              <w:rPr>
                <w:rFonts w:hint="eastAsia" w:eastAsia="宋体"/>
                <w:sz w:val="21"/>
                <w:szCs w:val="21"/>
              </w:rPr>
              <w:t>-</w:t>
            </w:r>
          </w:p>
        </w:tc>
        <w:tc>
          <w:tcPr>
            <w:tcW w:w="1572" w:type="dxa"/>
            <w:vAlign w:val="center"/>
          </w:tcPr>
          <w:p>
            <w:pPr>
              <w:pStyle w:val="40"/>
              <w:spacing w:line="240" w:lineRule="auto"/>
              <w:ind w:firstLine="0" w:firstLineChars="0"/>
              <w:jc w:val="center"/>
              <w:rPr>
                <w:rFonts w:eastAsia="宋体"/>
                <w:sz w:val="21"/>
                <w:szCs w:val="21"/>
              </w:rPr>
            </w:pPr>
            <w:r>
              <w:rPr>
                <w:rFonts w:hint="eastAsia" w:eastAsia="宋体"/>
                <w:sz w:val="21"/>
                <w:szCs w:val="21"/>
              </w:rPr>
              <w:t>18706.378</w:t>
            </w:r>
          </w:p>
        </w:tc>
        <w:tc>
          <w:tcPr>
            <w:tcW w:w="1530" w:type="dxa"/>
            <w:vAlign w:val="center"/>
          </w:tcPr>
          <w:p>
            <w:pPr>
              <w:pStyle w:val="40"/>
              <w:spacing w:line="240" w:lineRule="auto"/>
              <w:ind w:firstLine="0" w:firstLineChars="0"/>
              <w:jc w:val="center"/>
              <w:rPr>
                <w:rFonts w:eastAsia="宋体"/>
                <w:sz w:val="21"/>
                <w:szCs w:val="21"/>
              </w:rPr>
            </w:pPr>
            <w:r>
              <w:rPr>
                <w:rFonts w:hint="eastAsia" w:eastAsia="宋体"/>
                <w:sz w:val="21"/>
                <w:szCs w:val="21"/>
              </w:rPr>
              <w:t>0</w:t>
            </w:r>
          </w:p>
        </w:tc>
        <w:tc>
          <w:tcPr>
            <w:tcW w:w="1895" w:type="dxa"/>
            <w:vAlign w:val="center"/>
          </w:tcPr>
          <w:p>
            <w:pPr>
              <w:pStyle w:val="40"/>
              <w:spacing w:line="240" w:lineRule="auto"/>
              <w:ind w:firstLine="0" w:firstLineChars="0"/>
              <w:jc w:val="center"/>
              <w:rPr>
                <w:rFonts w:eastAsia="宋体"/>
                <w:sz w:val="21"/>
                <w:szCs w:val="21"/>
              </w:rPr>
            </w:pPr>
            <w:r>
              <w:rPr>
                <w:rFonts w:hint="eastAsia" w:eastAsia="宋体"/>
                <w:sz w:val="21"/>
                <w:szCs w:val="21"/>
              </w:rPr>
              <w:t>18706.378</w:t>
            </w:r>
          </w:p>
        </w:tc>
        <w:tc>
          <w:tcPr>
            <w:tcW w:w="1252" w:type="dxa"/>
            <w:vAlign w:val="center"/>
          </w:tcPr>
          <w:p>
            <w:pPr>
              <w:pStyle w:val="40"/>
              <w:spacing w:line="240" w:lineRule="auto"/>
              <w:ind w:firstLine="0" w:firstLineChars="0"/>
              <w:jc w:val="center"/>
              <w:rPr>
                <w:rFonts w:eastAsia="宋体"/>
                <w:sz w:val="21"/>
                <w:szCs w:val="21"/>
              </w:rPr>
            </w:pPr>
            <w:r>
              <w:rPr>
                <w:rFonts w:hint="eastAsia" w:eastAsia="宋体"/>
                <w:sz w:val="21"/>
                <w:szCs w:val="21"/>
              </w:rPr>
              <w:t>18706.378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Merge w:val="continue"/>
            <w:vAlign w:val="center"/>
          </w:tcPr>
          <w:p>
            <w:pPr>
              <w:pStyle w:val="40"/>
              <w:spacing w:line="240" w:lineRule="auto"/>
              <w:ind w:firstLine="0" w:firstLineChars="0"/>
              <w:jc w:val="center"/>
              <w:rPr>
                <w:rFonts w:eastAsia="宋体"/>
                <w:sz w:val="21"/>
                <w:szCs w:val="21"/>
              </w:rPr>
            </w:pPr>
          </w:p>
        </w:tc>
        <w:tc>
          <w:tcPr>
            <w:tcW w:w="2061" w:type="dxa"/>
            <w:vAlign w:val="center"/>
          </w:tcPr>
          <w:p>
            <w:pPr>
              <w:adjustRightInd w:val="0"/>
              <w:snapToGrid w:val="0"/>
              <w:spacing w:line="240" w:lineRule="auto"/>
              <w:jc w:val="center"/>
              <w:rPr>
                <w:rFonts w:eastAsia="宋体"/>
                <w:sz w:val="21"/>
                <w:szCs w:val="21"/>
              </w:rPr>
            </w:pPr>
            <w:r>
              <w:rPr>
                <w:rFonts w:eastAsia="宋体"/>
                <w:sz w:val="21"/>
                <w:szCs w:val="21"/>
              </w:rPr>
              <w:t>COD</w:t>
            </w:r>
          </w:p>
        </w:tc>
        <w:tc>
          <w:tcPr>
            <w:tcW w:w="1611" w:type="dxa"/>
          </w:tcPr>
          <w:p>
            <w:pPr>
              <w:spacing w:line="240" w:lineRule="auto"/>
              <w:jc w:val="center"/>
              <w:rPr>
                <w:rFonts w:eastAsia="宋体"/>
                <w:sz w:val="21"/>
                <w:szCs w:val="21"/>
              </w:rPr>
            </w:pPr>
            <w:r>
              <w:rPr>
                <w:rFonts w:hint="eastAsia" w:eastAsia="宋体"/>
                <w:sz w:val="21"/>
                <w:szCs w:val="21"/>
              </w:rPr>
              <w:t>-</w:t>
            </w:r>
          </w:p>
        </w:tc>
        <w:tc>
          <w:tcPr>
            <w:tcW w:w="1370" w:type="dxa"/>
          </w:tcPr>
          <w:p>
            <w:pPr>
              <w:spacing w:line="240" w:lineRule="auto"/>
              <w:jc w:val="center"/>
              <w:rPr>
                <w:rFonts w:eastAsia="宋体"/>
                <w:sz w:val="21"/>
                <w:szCs w:val="21"/>
              </w:rPr>
            </w:pPr>
            <w:r>
              <w:rPr>
                <w:rFonts w:hint="eastAsia" w:eastAsia="宋体"/>
                <w:sz w:val="21"/>
                <w:szCs w:val="21"/>
              </w:rPr>
              <w:t>-</w:t>
            </w:r>
          </w:p>
        </w:tc>
        <w:tc>
          <w:tcPr>
            <w:tcW w:w="1452" w:type="dxa"/>
          </w:tcPr>
          <w:p>
            <w:pPr>
              <w:spacing w:line="240" w:lineRule="auto"/>
              <w:jc w:val="center"/>
              <w:rPr>
                <w:rFonts w:eastAsia="宋体"/>
                <w:sz w:val="21"/>
                <w:szCs w:val="21"/>
              </w:rPr>
            </w:pPr>
            <w:r>
              <w:rPr>
                <w:rFonts w:hint="eastAsia" w:eastAsia="宋体"/>
                <w:sz w:val="21"/>
                <w:szCs w:val="21"/>
              </w:rPr>
              <w:t>-</w:t>
            </w:r>
          </w:p>
        </w:tc>
        <w:tc>
          <w:tcPr>
            <w:tcW w:w="1572" w:type="dxa"/>
            <w:vAlign w:val="center"/>
          </w:tcPr>
          <w:p>
            <w:pPr>
              <w:widowControl/>
              <w:adjustRightInd w:val="0"/>
              <w:snapToGrid w:val="0"/>
              <w:spacing w:line="240" w:lineRule="auto"/>
              <w:jc w:val="center"/>
              <w:rPr>
                <w:rFonts w:eastAsia="宋体"/>
                <w:sz w:val="21"/>
                <w:szCs w:val="21"/>
              </w:rPr>
            </w:pPr>
            <w:r>
              <w:rPr>
                <w:rFonts w:hint="eastAsia" w:eastAsia="宋体"/>
                <w:sz w:val="21"/>
                <w:szCs w:val="21"/>
                <w:lang w:bidi="ar"/>
              </w:rPr>
              <w:t xml:space="preserve">0.748 </w:t>
            </w:r>
          </w:p>
        </w:tc>
        <w:tc>
          <w:tcPr>
            <w:tcW w:w="1530" w:type="dxa"/>
            <w:vAlign w:val="center"/>
          </w:tcPr>
          <w:p>
            <w:pPr>
              <w:pStyle w:val="40"/>
              <w:spacing w:line="240" w:lineRule="auto"/>
              <w:ind w:firstLine="0" w:firstLineChars="0"/>
              <w:jc w:val="center"/>
              <w:rPr>
                <w:rFonts w:eastAsia="宋体"/>
                <w:sz w:val="21"/>
                <w:szCs w:val="21"/>
              </w:rPr>
            </w:pPr>
            <w:r>
              <w:rPr>
                <w:rFonts w:hint="eastAsia" w:eastAsia="宋体"/>
                <w:sz w:val="21"/>
                <w:szCs w:val="21"/>
              </w:rPr>
              <w:t>0</w:t>
            </w:r>
          </w:p>
        </w:tc>
        <w:tc>
          <w:tcPr>
            <w:tcW w:w="1895" w:type="dxa"/>
            <w:vAlign w:val="center"/>
          </w:tcPr>
          <w:p>
            <w:pPr>
              <w:widowControl/>
              <w:adjustRightInd w:val="0"/>
              <w:snapToGrid w:val="0"/>
              <w:spacing w:line="240" w:lineRule="auto"/>
              <w:jc w:val="center"/>
              <w:rPr>
                <w:rFonts w:eastAsia="宋体"/>
                <w:sz w:val="21"/>
                <w:szCs w:val="21"/>
              </w:rPr>
            </w:pPr>
            <w:r>
              <w:rPr>
                <w:rFonts w:hint="eastAsia" w:eastAsia="宋体"/>
                <w:sz w:val="21"/>
                <w:szCs w:val="21"/>
                <w:lang w:bidi="ar"/>
              </w:rPr>
              <w:t xml:space="preserve">0.748 </w:t>
            </w:r>
          </w:p>
        </w:tc>
        <w:tc>
          <w:tcPr>
            <w:tcW w:w="1252" w:type="dxa"/>
            <w:vAlign w:val="center"/>
          </w:tcPr>
          <w:p>
            <w:pPr>
              <w:widowControl/>
              <w:adjustRightInd w:val="0"/>
              <w:snapToGrid w:val="0"/>
              <w:spacing w:line="240" w:lineRule="auto"/>
              <w:jc w:val="center"/>
              <w:rPr>
                <w:rFonts w:eastAsia="宋体"/>
                <w:sz w:val="21"/>
                <w:szCs w:val="21"/>
              </w:rPr>
            </w:pPr>
            <w:r>
              <w:rPr>
                <w:rFonts w:hint="eastAsia" w:eastAsia="宋体"/>
                <w:sz w:val="21"/>
                <w:szCs w:val="21"/>
                <w:lang w:bidi="ar"/>
              </w:rPr>
              <w:t xml:space="preserve">0.748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Merge w:val="continue"/>
            <w:vAlign w:val="center"/>
          </w:tcPr>
          <w:p>
            <w:pPr>
              <w:pStyle w:val="40"/>
              <w:spacing w:line="240" w:lineRule="auto"/>
              <w:ind w:firstLine="0" w:firstLineChars="0"/>
              <w:jc w:val="center"/>
              <w:rPr>
                <w:rFonts w:eastAsia="宋体"/>
                <w:sz w:val="21"/>
                <w:szCs w:val="21"/>
              </w:rPr>
            </w:pPr>
          </w:p>
        </w:tc>
        <w:tc>
          <w:tcPr>
            <w:tcW w:w="2061" w:type="dxa"/>
            <w:vAlign w:val="center"/>
          </w:tcPr>
          <w:p>
            <w:pPr>
              <w:adjustRightInd w:val="0"/>
              <w:snapToGrid w:val="0"/>
              <w:spacing w:line="240" w:lineRule="auto"/>
              <w:jc w:val="center"/>
              <w:rPr>
                <w:rFonts w:eastAsia="宋体"/>
                <w:sz w:val="21"/>
                <w:szCs w:val="21"/>
              </w:rPr>
            </w:pPr>
            <w:r>
              <w:rPr>
                <w:rFonts w:eastAsia="宋体"/>
                <w:sz w:val="21"/>
                <w:szCs w:val="21"/>
              </w:rPr>
              <w:t>氨氮</w:t>
            </w:r>
          </w:p>
        </w:tc>
        <w:tc>
          <w:tcPr>
            <w:tcW w:w="1611" w:type="dxa"/>
          </w:tcPr>
          <w:p>
            <w:pPr>
              <w:spacing w:line="240" w:lineRule="auto"/>
              <w:jc w:val="center"/>
              <w:rPr>
                <w:rFonts w:eastAsia="宋体"/>
                <w:sz w:val="21"/>
                <w:szCs w:val="21"/>
              </w:rPr>
            </w:pPr>
            <w:r>
              <w:rPr>
                <w:rFonts w:hint="eastAsia" w:eastAsia="宋体"/>
                <w:sz w:val="21"/>
                <w:szCs w:val="21"/>
              </w:rPr>
              <w:t>-</w:t>
            </w:r>
          </w:p>
        </w:tc>
        <w:tc>
          <w:tcPr>
            <w:tcW w:w="1370" w:type="dxa"/>
          </w:tcPr>
          <w:p>
            <w:pPr>
              <w:spacing w:line="240" w:lineRule="auto"/>
              <w:jc w:val="center"/>
              <w:rPr>
                <w:rFonts w:eastAsia="宋体"/>
                <w:sz w:val="21"/>
                <w:szCs w:val="21"/>
              </w:rPr>
            </w:pPr>
            <w:r>
              <w:rPr>
                <w:rFonts w:hint="eastAsia" w:eastAsia="宋体"/>
                <w:sz w:val="21"/>
                <w:szCs w:val="21"/>
              </w:rPr>
              <w:t>-</w:t>
            </w:r>
          </w:p>
        </w:tc>
        <w:tc>
          <w:tcPr>
            <w:tcW w:w="1452" w:type="dxa"/>
          </w:tcPr>
          <w:p>
            <w:pPr>
              <w:spacing w:line="240" w:lineRule="auto"/>
              <w:jc w:val="center"/>
              <w:rPr>
                <w:rFonts w:eastAsia="宋体"/>
                <w:sz w:val="21"/>
                <w:szCs w:val="21"/>
              </w:rPr>
            </w:pPr>
            <w:r>
              <w:rPr>
                <w:rFonts w:hint="eastAsia" w:eastAsia="宋体"/>
                <w:sz w:val="21"/>
                <w:szCs w:val="21"/>
              </w:rPr>
              <w:t>-</w:t>
            </w:r>
          </w:p>
        </w:tc>
        <w:tc>
          <w:tcPr>
            <w:tcW w:w="1572" w:type="dxa"/>
            <w:vAlign w:val="center"/>
          </w:tcPr>
          <w:p>
            <w:pPr>
              <w:widowControl/>
              <w:adjustRightInd w:val="0"/>
              <w:snapToGrid w:val="0"/>
              <w:spacing w:line="240" w:lineRule="auto"/>
              <w:jc w:val="center"/>
              <w:rPr>
                <w:rFonts w:eastAsia="宋体"/>
                <w:sz w:val="21"/>
                <w:szCs w:val="21"/>
              </w:rPr>
            </w:pPr>
            <w:r>
              <w:rPr>
                <w:rFonts w:hint="eastAsia" w:eastAsia="宋体"/>
                <w:sz w:val="21"/>
                <w:szCs w:val="21"/>
                <w:lang w:bidi="ar"/>
              </w:rPr>
              <w:t xml:space="preserve">0.037 </w:t>
            </w:r>
          </w:p>
        </w:tc>
        <w:tc>
          <w:tcPr>
            <w:tcW w:w="1530" w:type="dxa"/>
            <w:vAlign w:val="center"/>
          </w:tcPr>
          <w:p>
            <w:pPr>
              <w:pStyle w:val="40"/>
              <w:spacing w:line="240" w:lineRule="auto"/>
              <w:ind w:firstLine="0" w:firstLineChars="0"/>
              <w:jc w:val="center"/>
              <w:rPr>
                <w:rFonts w:eastAsia="宋体"/>
                <w:sz w:val="21"/>
                <w:szCs w:val="21"/>
              </w:rPr>
            </w:pPr>
            <w:r>
              <w:rPr>
                <w:rFonts w:hint="eastAsia" w:eastAsia="宋体"/>
                <w:sz w:val="21"/>
                <w:szCs w:val="21"/>
              </w:rPr>
              <w:t>0</w:t>
            </w:r>
          </w:p>
        </w:tc>
        <w:tc>
          <w:tcPr>
            <w:tcW w:w="1895" w:type="dxa"/>
            <w:vAlign w:val="center"/>
          </w:tcPr>
          <w:p>
            <w:pPr>
              <w:widowControl/>
              <w:adjustRightInd w:val="0"/>
              <w:snapToGrid w:val="0"/>
              <w:spacing w:line="240" w:lineRule="auto"/>
              <w:jc w:val="center"/>
              <w:rPr>
                <w:rFonts w:eastAsia="宋体"/>
                <w:sz w:val="21"/>
                <w:szCs w:val="21"/>
              </w:rPr>
            </w:pPr>
            <w:r>
              <w:rPr>
                <w:rFonts w:hint="eastAsia" w:eastAsia="宋体"/>
                <w:sz w:val="21"/>
                <w:szCs w:val="21"/>
                <w:lang w:bidi="ar"/>
              </w:rPr>
              <w:t xml:space="preserve">0.037 </w:t>
            </w:r>
          </w:p>
        </w:tc>
        <w:tc>
          <w:tcPr>
            <w:tcW w:w="1252" w:type="dxa"/>
            <w:vAlign w:val="center"/>
          </w:tcPr>
          <w:p>
            <w:pPr>
              <w:widowControl/>
              <w:adjustRightInd w:val="0"/>
              <w:snapToGrid w:val="0"/>
              <w:spacing w:line="240" w:lineRule="auto"/>
              <w:jc w:val="center"/>
              <w:rPr>
                <w:rFonts w:eastAsia="宋体"/>
                <w:sz w:val="21"/>
                <w:szCs w:val="21"/>
              </w:rPr>
            </w:pPr>
            <w:r>
              <w:rPr>
                <w:rFonts w:hint="eastAsia" w:eastAsia="宋体"/>
                <w:sz w:val="21"/>
                <w:szCs w:val="21"/>
                <w:lang w:bidi="ar"/>
              </w:rPr>
              <w:t xml:space="preserve">0.037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Merge w:val="continue"/>
            <w:vAlign w:val="center"/>
          </w:tcPr>
          <w:p>
            <w:pPr>
              <w:pStyle w:val="40"/>
              <w:spacing w:line="240" w:lineRule="auto"/>
              <w:ind w:firstLine="0" w:firstLineChars="0"/>
              <w:jc w:val="center"/>
              <w:rPr>
                <w:rFonts w:eastAsia="宋体"/>
                <w:sz w:val="21"/>
                <w:szCs w:val="21"/>
              </w:rPr>
            </w:pPr>
          </w:p>
        </w:tc>
        <w:tc>
          <w:tcPr>
            <w:tcW w:w="2061" w:type="dxa"/>
            <w:vAlign w:val="center"/>
          </w:tcPr>
          <w:p>
            <w:pPr>
              <w:adjustRightInd w:val="0"/>
              <w:snapToGrid w:val="0"/>
              <w:spacing w:line="240" w:lineRule="auto"/>
              <w:jc w:val="center"/>
              <w:rPr>
                <w:rFonts w:eastAsia="宋体"/>
                <w:sz w:val="21"/>
                <w:szCs w:val="21"/>
              </w:rPr>
            </w:pPr>
            <w:r>
              <w:rPr>
                <w:rFonts w:hint="eastAsia" w:eastAsia="宋体"/>
                <w:sz w:val="21"/>
                <w:szCs w:val="21"/>
              </w:rPr>
              <w:t>SS</w:t>
            </w:r>
          </w:p>
        </w:tc>
        <w:tc>
          <w:tcPr>
            <w:tcW w:w="1611" w:type="dxa"/>
          </w:tcPr>
          <w:p>
            <w:pPr>
              <w:spacing w:line="240" w:lineRule="auto"/>
              <w:jc w:val="center"/>
              <w:rPr>
                <w:rFonts w:eastAsia="宋体"/>
                <w:sz w:val="21"/>
                <w:szCs w:val="21"/>
              </w:rPr>
            </w:pPr>
            <w:r>
              <w:rPr>
                <w:rFonts w:hint="eastAsia" w:eastAsia="宋体"/>
                <w:sz w:val="21"/>
                <w:szCs w:val="21"/>
              </w:rPr>
              <w:t>-</w:t>
            </w:r>
          </w:p>
        </w:tc>
        <w:tc>
          <w:tcPr>
            <w:tcW w:w="1370" w:type="dxa"/>
          </w:tcPr>
          <w:p>
            <w:pPr>
              <w:spacing w:line="240" w:lineRule="auto"/>
              <w:jc w:val="center"/>
              <w:rPr>
                <w:rFonts w:eastAsia="宋体"/>
                <w:sz w:val="21"/>
                <w:szCs w:val="21"/>
              </w:rPr>
            </w:pPr>
            <w:r>
              <w:rPr>
                <w:rFonts w:hint="eastAsia" w:eastAsia="宋体"/>
                <w:sz w:val="21"/>
                <w:szCs w:val="21"/>
              </w:rPr>
              <w:t>-</w:t>
            </w:r>
          </w:p>
        </w:tc>
        <w:tc>
          <w:tcPr>
            <w:tcW w:w="1452" w:type="dxa"/>
          </w:tcPr>
          <w:p>
            <w:pPr>
              <w:spacing w:line="240" w:lineRule="auto"/>
              <w:jc w:val="center"/>
              <w:rPr>
                <w:rFonts w:eastAsia="宋体"/>
                <w:sz w:val="21"/>
                <w:szCs w:val="21"/>
              </w:rPr>
            </w:pPr>
            <w:r>
              <w:rPr>
                <w:rFonts w:hint="eastAsia" w:eastAsia="宋体"/>
                <w:sz w:val="21"/>
                <w:szCs w:val="21"/>
              </w:rPr>
              <w:t>-</w:t>
            </w:r>
          </w:p>
        </w:tc>
        <w:tc>
          <w:tcPr>
            <w:tcW w:w="1572" w:type="dxa"/>
            <w:vAlign w:val="center"/>
          </w:tcPr>
          <w:p>
            <w:pPr>
              <w:widowControl/>
              <w:adjustRightInd w:val="0"/>
              <w:snapToGrid w:val="0"/>
              <w:spacing w:line="240" w:lineRule="auto"/>
              <w:jc w:val="center"/>
              <w:rPr>
                <w:rFonts w:eastAsia="宋体"/>
                <w:sz w:val="21"/>
                <w:szCs w:val="21"/>
              </w:rPr>
            </w:pPr>
            <w:r>
              <w:rPr>
                <w:rFonts w:hint="eastAsia" w:eastAsia="宋体"/>
                <w:sz w:val="21"/>
                <w:szCs w:val="21"/>
                <w:lang w:bidi="ar"/>
              </w:rPr>
              <w:t xml:space="preserve">0.187 </w:t>
            </w:r>
          </w:p>
        </w:tc>
        <w:tc>
          <w:tcPr>
            <w:tcW w:w="1530" w:type="dxa"/>
            <w:vAlign w:val="center"/>
          </w:tcPr>
          <w:p>
            <w:pPr>
              <w:pStyle w:val="40"/>
              <w:spacing w:line="240" w:lineRule="auto"/>
              <w:ind w:firstLine="0" w:firstLineChars="0"/>
              <w:jc w:val="center"/>
              <w:rPr>
                <w:rFonts w:eastAsia="宋体"/>
                <w:sz w:val="21"/>
                <w:szCs w:val="21"/>
              </w:rPr>
            </w:pPr>
            <w:r>
              <w:rPr>
                <w:rFonts w:hint="eastAsia" w:eastAsia="宋体"/>
                <w:sz w:val="21"/>
                <w:szCs w:val="21"/>
              </w:rPr>
              <w:t>0</w:t>
            </w:r>
          </w:p>
        </w:tc>
        <w:tc>
          <w:tcPr>
            <w:tcW w:w="1895" w:type="dxa"/>
            <w:vAlign w:val="center"/>
          </w:tcPr>
          <w:p>
            <w:pPr>
              <w:widowControl/>
              <w:adjustRightInd w:val="0"/>
              <w:snapToGrid w:val="0"/>
              <w:spacing w:line="240" w:lineRule="auto"/>
              <w:jc w:val="center"/>
              <w:rPr>
                <w:rFonts w:eastAsia="宋体"/>
                <w:sz w:val="21"/>
                <w:szCs w:val="21"/>
              </w:rPr>
            </w:pPr>
            <w:r>
              <w:rPr>
                <w:rFonts w:hint="eastAsia" w:eastAsia="宋体"/>
                <w:sz w:val="21"/>
                <w:szCs w:val="21"/>
                <w:lang w:bidi="ar"/>
              </w:rPr>
              <w:t xml:space="preserve">0.187 </w:t>
            </w:r>
          </w:p>
        </w:tc>
        <w:tc>
          <w:tcPr>
            <w:tcW w:w="1252" w:type="dxa"/>
            <w:vAlign w:val="center"/>
          </w:tcPr>
          <w:p>
            <w:pPr>
              <w:widowControl/>
              <w:adjustRightInd w:val="0"/>
              <w:snapToGrid w:val="0"/>
              <w:spacing w:line="240" w:lineRule="auto"/>
              <w:jc w:val="center"/>
              <w:rPr>
                <w:rFonts w:eastAsia="宋体"/>
                <w:sz w:val="21"/>
                <w:szCs w:val="21"/>
              </w:rPr>
            </w:pPr>
            <w:r>
              <w:rPr>
                <w:rFonts w:hint="eastAsia" w:eastAsia="宋体"/>
                <w:sz w:val="21"/>
                <w:szCs w:val="21"/>
                <w:lang w:bidi="ar"/>
              </w:rPr>
              <w:t xml:space="preserve">0.187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Merge w:val="continue"/>
            <w:vAlign w:val="center"/>
          </w:tcPr>
          <w:p>
            <w:pPr>
              <w:pStyle w:val="40"/>
              <w:spacing w:line="240" w:lineRule="auto"/>
              <w:ind w:firstLine="0" w:firstLineChars="0"/>
              <w:jc w:val="center"/>
              <w:rPr>
                <w:rFonts w:eastAsia="宋体"/>
                <w:sz w:val="21"/>
                <w:szCs w:val="21"/>
              </w:rPr>
            </w:pPr>
          </w:p>
        </w:tc>
        <w:tc>
          <w:tcPr>
            <w:tcW w:w="2061" w:type="dxa"/>
            <w:vAlign w:val="center"/>
          </w:tcPr>
          <w:p>
            <w:pPr>
              <w:adjustRightInd w:val="0"/>
              <w:snapToGrid w:val="0"/>
              <w:spacing w:line="240" w:lineRule="auto"/>
              <w:jc w:val="center"/>
              <w:rPr>
                <w:rFonts w:eastAsia="宋体"/>
                <w:sz w:val="21"/>
                <w:szCs w:val="21"/>
              </w:rPr>
            </w:pPr>
            <w:r>
              <w:rPr>
                <w:rFonts w:hint="eastAsia" w:eastAsia="宋体"/>
                <w:sz w:val="21"/>
                <w:szCs w:val="21"/>
              </w:rPr>
              <w:t>动植物油</w:t>
            </w:r>
          </w:p>
        </w:tc>
        <w:tc>
          <w:tcPr>
            <w:tcW w:w="1611" w:type="dxa"/>
          </w:tcPr>
          <w:p>
            <w:pPr>
              <w:spacing w:line="240" w:lineRule="auto"/>
              <w:jc w:val="center"/>
              <w:rPr>
                <w:rFonts w:eastAsia="宋体"/>
                <w:sz w:val="21"/>
                <w:szCs w:val="21"/>
              </w:rPr>
            </w:pPr>
            <w:r>
              <w:rPr>
                <w:rFonts w:hint="eastAsia" w:eastAsia="宋体"/>
                <w:sz w:val="21"/>
                <w:szCs w:val="21"/>
              </w:rPr>
              <w:t>-</w:t>
            </w:r>
          </w:p>
        </w:tc>
        <w:tc>
          <w:tcPr>
            <w:tcW w:w="1370" w:type="dxa"/>
          </w:tcPr>
          <w:p>
            <w:pPr>
              <w:spacing w:line="240" w:lineRule="auto"/>
              <w:jc w:val="center"/>
              <w:rPr>
                <w:rFonts w:eastAsia="宋体"/>
                <w:sz w:val="21"/>
                <w:szCs w:val="21"/>
              </w:rPr>
            </w:pPr>
            <w:r>
              <w:rPr>
                <w:rFonts w:hint="eastAsia" w:eastAsia="宋体"/>
                <w:sz w:val="21"/>
                <w:szCs w:val="21"/>
              </w:rPr>
              <w:t>-</w:t>
            </w:r>
          </w:p>
        </w:tc>
        <w:tc>
          <w:tcPr>
            <w:tcW w:w="1452" w:type="dxa"/>
          </w:tcPr>
          <w:p>
            <w:pPr>
              <w:spacing w:line="240" w:lineRule="auto"/>
              <w:jc w:val="center"/>
              <w:rPr>
                <w:rFonts w:eastAsia="宋体"/>
                <w:sz w:val="21"/>
                <w:szCs w:val="21"/>
              </w:rPr>
            </w:pPr>
            <w:r>
              <w:rPr>
                <w:rFonts w:hint="eastAsia" w:eastAsia="宋体"/>
                <w:sz w:val="21"/>
                <w:szCs w:val="21"/>
              </w:rPr>
              <w:t>-</w:t>
            </w:r>
          </w:p>
        </w:tc>
        <w:tc>
          <w:tcPr>
            <w:tcW w:w="1572" w:type="dxa"/>
            <w:vAlign w:val="center"/>
          </w:tcPr>
          <w:p>
            <w:pPr>
              <w:widowControl/>
              <w:adjustRightInd w:val="0"/>
              <w:snapToGrid w:val="0"/>
              <w:spacing w:line="240" w:lineRule="auto"/>
              <w:jc w:val="center"/>
              <w:rPr>
                <w:rFonts w:eastAsia="宋体"/>
                <w:sz w:val="21"/>
                <w:szCs w:val="21"/>
              </w:rPr>
            </w:pPr>
            <w:r>
              <w:rPr>
                <w:rFonts w:hint="eastAsia" w:eastAsia="宋体"/>
                <w:sz w:val="21"/>
                <w:szCs w:val="21"/>
                <w:lang w:bidi="ar"/>
              </w:rPr>
              <w:t xml:space="preserve">0.019 </w:t>
            </w:r>
          </w:p>
        </w:tc>
        <w:tc>
          <w:tcPr>
            <w:tcW w:w="1530" w:type="dxa"/>
            <w:vAlign w:val="center"/>
          </w:tcPr>
          <w:p>
            <w:pPr>
              <w:pStyle w:val="40"/>
              <w:spacing w:line="240" w:lineRule="auto"/>
              <w:ind w:firstLine="0" w:firstLineChars="0"/>
              <w:jc w:val="center"/>
              <w:rPr>
                <w:rFonts w:eastAsia="宋体"/>
                <w:sz w:val="21"/>
                <w:szCs w:val="21"/>
              </w:rPr>
            </w:pPr>
            <w:r>
              <w:rPr>
                <w:rFonts w:hint="eastAsia" w:eastAsia="宋体"/>
                <w:sz w:val="21"/>
                <w:szCs w:val="21"/>
              </w:rPr>
              <w:t>0</w:t>
            </w:r>
          </w:p>
        </w:tc>
        <w:tc>
          <w:tcPr>
            <w:tcW w:w="1895" w:type="dxa"/>
            <w:vAlign w:val="center"/>
          </w:tcPr>
          <w:p>
            <w:pPr>
              <w:widowControl/>
              <w:adjustRightInd w:val="0"/>
              <w:snapToGrid w:val="0"/>
              <w:spacing w:line="240" w:lineRule="auto"/>
              <w:jc w:val="center"/>
              <w:rPr>
                <w:rFonts w:eastAsia="宋体"/>
                <w:sz w:val="21"/>
                <w:szCs w:val="21"/>
              </w:rPr>
            </w:pPr>
            <w:r>
              <w:rPr>
                <w:rFonts w:hint="eastAsia" w:eastAsia="宋体"/>
                <w:sz w:val="21"/>
                <w:szCs w:val="21"/>
                <w:lang w:bidi="ar"/>
              </w:rPr>
              <w:t xml:space="preserve">0.019 </w:t>
            </w:r>
          </w:p>
        </w:tc>
        <w:tc>
          <w:tcPr>
            <w:tcW w:w="1252" w:type="dxa"/>
            <w:vAlign w:val="center"/>
          </w:tcPr>
          <w:p>
            <w:pPr>
              <w:widowControl/>
              <w:adjustRightInd w:val="0"/>
              <w:snapToGrid w:val="0"/>
              <w:spacing w:line="240" w:lineRule="auto"/>
              <w:jc w:val="center"/>
              <w:rPr>
                <w:rFonts w:eastAsia="宋体"/>
                <w:sz w:val="21"/>
                <w:szCs w:val="21"/>
              </w:rPr>
            </w:pPr>
            <w:r>
              <w:rPr>
                <w:rFonts w:hint="eastAsia" w:eastAsia="宋体"/>
                <w:sz w:val="21"/>
                <w:szCs w:val="21"/>
                <w:lang w:bidi="ar"/>
              </w:rPr>
              <w:t xml:space="preserve">0.019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Merge w:val="restart"/>
            <w:vAlign w:val="center"/>
          </w:tcPr>
          <w:p>
            <w:pPr>
              <w:pStyle w:val="40"/>
              <w:spacing w:line="240" w:lineRule="auto"/>
              <w:ind w:firstLine="0" w:firstLineChars="0"/>
              <w:jc w:val="center"/>
              <w:rPr>
                <w:rFonts w:eastAsia="宋体"/>
                <w:sz w:val="21"/>
                <w:szCs w:val="21"/>
              </w:rPr>
            </w:pPr>
            <w:r>
              <w:rPr>
                <w:rFonts w:eastAsia="宋体"/>
                <w:sz w:val="21"/>
                <w:szCs w:val="21"/>
              </w:rPr>
              <w:t>一般工业固体废物</w:t>
            </w:r>
          </w:p>
        </w:tc>
        <w:tc>
          <w:tcPr>
            <w:tcW w:w="2061" w:type="dxa"/>
            <w:vAlign w:val="center"/>
          </w:tcPr>
          <w:p>
            <w:pPr>
              <w:pStyle w:val="40"/>
              <w:spacing w:line="240" w:lineRule="auto"/>
              <w:ind w:firstLine="0" w:firstLineChars="0"/>
              <w:jc w:val="center"/>
              <w:rPr>
                <w:rFonts w:eastAsia="宋体"/>
                <w:sz w:val="21"/>
                <w:szCs w:val="21"/>
              </w:rPr>
            </w:pPr>
            <w:r>
              <w:rPr>
                <w:rFonts w:hint="eastAsia" w:eastAsia="宋体"/>
                <w:sz w:val="21"/>
                <w:szCs w:val="21"/>
              </w:rPr>
              <w:t>餐厨垃圾</w:t>
            </w:r>
          </w:p>
        </w:tc>
        <w:tc>
          <w:tcPr>
            <w:tcW w:w="1611" w:type="dxa"/>
          </w:tcPr>
          <w:p>
            <w:pPr>
              <w:spacing w:line="240" w:lineRule="auto"/>
              <w:jc w:val="center"/>
              <w:rPr>
                <w:rFonts w:eastAsia="宋体"/>
                <w:sz w:val="21"/>
                <w:szCs w:val="21"/>
              </w:rPr>
            </w:pPr>
            <w:r>
              <w:rPr>
                <w:rFonts w:hint="eastAsia" w:eastAsia="宋体"/>
                <w:sz w:val="21"/>
                <w:szCs w:val="21"/>
              </w:rPr>
              <w:t>-</w:t>
            </w:r>
          </w:p>
        </w:tc>
        <w:tc>
          <w:tcPr>
            <w:tcW w:w="1370" w:type="dxa"/>
          </w:tcPr>
          <w:p>
            <w:pPr>
              <w:spacing w:line="240" w:lineRule="auto"/>
              <w:jc w:val="center"/>
              <w:rPr>
                <w:rFonts w:eastAsia="宋体"/>
                <w:sz w:val="21"/>
                <w:szCs w:val="21"/>
              </w:rPr>
            </w:pPr>
            <w:r>
              <w:rPr>
                <w:rFonts w:hint="eastAsia" w:eastAsia="宋体"/>
                <w:sz w:val="21"/>
                <w:szCs w:val="21"/>
              </w:rPr>
              <w:t>-</w:t>
            </w:r>
          </w:p>
        </w:tc>
        <w:tc>
          <w:tcPr>
            <w:tcW w:w="1452" w:type="dxa"/>
          </w:tcPr>
          <w:p>
            <w:pPr>
              <w:spacing w:line="240" w:lineRule="auto"/>
              <w:jc w:val="center"/>
              <w:rPr>
                <w:rFonts w:eastAsia="宋体"/>
                <w:sz w:val="21"/>
                <w:szCs w:val="21"/>
              </w:rPr>
            </w:pPr>
            <w:r>
              <w:rPr>
                <w:rFonts w:hint="eastAsia" w:eastAsia="宋体"/>
                <w:sz w:val="21"/>
                <w:szCs w:val="21"/>
              </w:rPr>
              <w:t>-</w:t>
            </w:r>
          </w:p>
        </w:tc>
        <w:tc>
          <w:tcPr>
            <w:tcW w:w="1572" w:type="dxa"/>
            <w:vAlign w:val="center"/>
          </w:tcPr>
          <w:p>
            <w:pPr>
              <w:widowControl/>
              <w:adjustRightInd w:val="0"/>
              <w:snapToGrid w:val="0"/>
              <w:spacing w:line="240" w:lineRule="auto"/>
              <w:jc w:val="center"/>
              <w:rPr>
                <w:rFonts w:hint="default" w:eastAsia="宋体"/>
                <w:sz w:val="21"/>
                <w:szCs w:val="21"/>
                <w:lang w:val="en-US" w:eastAsia="zh-CN"/>
              </w:rPr>
            </w:pPr>
            <w:r>
              <w:rPr>
                <w:rFonts w:hint="eastAsia" w:eastAsia="宋体"/>
                <w:sz w:val="21"/>
                <w:szCs w:val="21"/>
                <w:lang w:val="en-US" w:eastAsia="zh-CN"/>
              </w:rPr>
              <w:t>107.81</w:t>
            </w:r>
          </w:p>
        </w:tc>
        <w:tc>
          <w:tcPr>
            <w:tcW w:w="1530" w:type="dxa"/>
            <w:vAlign w:val="center"/>
          </w:tcPr>
          <w:p>
            <w:pPr>
              <w:spacing w:line="240" w:lineRule="auto"/>
              <w:jc w:val="center"/>
              <w:rPr>
                <w:rFonts w:eastAsia="宋体"/>
                <w:sz w:val="21"/>
                <w:szCs w:val="21"/>
              </w:rPr>
            </w:pPr>
            <w:r>
              <w:rPr>
                <w:rFonts w:eastAsia="宋体"/>
                <w:sz w:val="21"/>
                <w:szCs w:val="21"/>
              </w:rPr>
              <w:t>0</w:t>
            </w:r>
          </w:p>
        </w:tc>
        <w:tc>
          <w:tcPr>
            <w:tcW w:w="1895" w:type="dxa"/>
            <w:vAlign w:val="center"/>
          </w:tcPr>
          <w:p>
            <w:pPr>
              <w:widowControl/>
              <w:adjustRightInd w:val="0"/>
              <w:snapToGrid w:val="0"/>
              <w:spacing w:line="240" w:lineRule="auto"/>
              <w:jc w:val="center"/>
              <w:rPr>
                <w:rFonts w:hint="default" w:eastAsia="宋体"/>
                <w:sz w:val="21"/>
                <w:szCs w:val="21"/>
                <w:lang w:val="en-US" w:eastAsia="zh-CN"/>
              </w:rPr>
            </w:pPr>
            <w:r>
              <w:rPr>
                <w:rFonts w:hint="eastAsia" w:eastAsia="宋体"/>
                <w:sz w:val="21"/>
                <w:szCs w:val="21"/>
                <w:lang w:val="en-US" w:eastAsia="zh-CN"/>
              </w:rPr>
              <w:t>107.81</w:t>
            </w:r>
          </w:p>
        </w:tc>
        <w:tc>
          <w:tcPr>
            <w:tcW w:w="1252" w:type="dxa"/>
            <w:vAlign w:val="center"/>
          </w:tcPr>
          <w:p>
            <w:pPr>
              <w:widowControl/>
              <w:adjustRightInd w:val="0"/>
              <w:snapToGrid w:val="0"/>
              <w:spacing w:line="240" w:lineRule="auto"/>
              <w:jc w:val="center"/>
              <w:rPr>
                <w:rFonts w:hint="default" w:eastAsia="宋体"/>
                <w:sz w:val="21"/>
                <w:szCs w:val="21"/>
                <w:lang w:val="en-US" w:eastAsia="zh-CN"/>
              </w:rPr>
            </w:pPr>
            <w:r>
              <w:rPr>
                <w:rFonts w:hint="eastAsia" w:eastAsia="宋体"/>
                <w:sz w:val="21"/>
                <w:szCs w:val="21"/>
              </w:rPr>
              <w:t>+</w:t>
            </w:r>
            <w:r>
              <w:rPr>
                <w:rFonts w:hint="eastAsia" w:eastAsia="宋体"/>
                <w:sz w:val="21"/>
                <w:szCs w:val="21"/>
                <w:lang w:val="en-US" w:eastAsia="zh-CN"/>
              </w:rPr>
              <w:t>107.81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Merge w:val="continue"/>
            <w:vAlign w:val="center"/>
          </w:tcPr>
          <w:p>
            <w:pPr>
              <w:pStyle w:val="40"/>
              <w:spacing w:line="240" w:lineRule="auto"/>
              <w:ind w:firstLine="0" w:firstLineChars="0"/>
              <w:jc w:val="center"/>
              <w:rPr>
                <w:rFonts w:eastAsia="宋体"/>
                <w:sz w:val="21"/>
                <w:szCs w:val="21"/>
              </w:rPr>
            </w:pPr>
          </w:p>
        </w:tc>
        <w:tc>
          <w:tcPr>
            <w:tcW w:w="2061" w:type="dxa"/>
            <w:vAlign w:val="center"/>
          </w:tcPr>
          <w:p>
            <w:pPr>
              <w:pStyle w:val="40"/>
              <w:spacing w:line="240" w:lineRule="auto"/>
              <w:ind w:firstLine="0" w:firstLineChars="0"/>
              <w:jc w:val="center"/>
              <w:rPr>
                <w:rFonts w:eastAsia="宋体"/>
                <w:sz w:val="21"/>
                <w:szCs w:val="21"/>
              </w:rPr>
            </w:pPr>
            <w:r>
              <w:rPr>
                <w:rFonts w:hint="eastAsia" w:eastAsia="宋体"/>
                <w:sz w:val="21"/>
                <w:szCs w:val="21"/>
              </w:rPr>
              <w:t>废油脂</w:t>
            </w:r>
          </w:p>
        </w:tc>
        <w:tc>
          <w:tcPr>
            <w:tcW w:w="1611" w:type="dxa"/>
          </w:tcPr>
          <w:p>
            <w:pPr>
              <w:spacing w:line="240" w:lineRule="auto"/>
              <w:jc w:val="center"/>
              <w:rPr>
                <w:rFonts w:eastAsia="宋体"/>
                <w:sz w:val="21"/>
                <w:szCs w:val="21"/>
              </w:rPr>
            </w:pPr>
            <w:r>
              <w:rPr>
                <w:rFonts w:hint="eastAsia" w:eastAsia="宋体"/>
                <w:sz w:val="21"/>
                <w:szCs w:val="21"/>
              </w:rPr>
              <w:t>-</w:t>
            </w:r>
          </w:p>
        </w:tc>
        <w:tc>
          <w:tcPr>
            <w:tcW w:w="1370" w:type="dxa"/>
          </w:tcPr>
          <w:p>
            <w:pPr>
              <w:spacing w:line="240" w:lineRule="auto"/>
              <w:jc w:val="center"/>
              <w:rPr>
                <w:rFonts w:eastAsia="宋体"/>
                <w:sz w:val="21"/>
                <w:szCs w:val="21"/>
              </w:rPr>
            </w:pPr>
            <w:r>
              <w:rPr>
                <w:rFonts w:hint="eastAsia" w:eastAsia="宋体"/>
                <w:sz w:val="21"/>
                <w:szCs w:val="21"/>
              </w:rPr>
              <w:t>-</w:t>
            </w:r>
          </w:p>
        </w:tc>
        <w:tc>
          <w:tcPr>
            <w:tcW w:w="1452" w:type="dxa"/>
          </w:tcPr>
          <w:p>
            <w:pPr>
              <w:spacing w:line="240" w:lineRule="auto"/>
              <w:jc w:val="center"/>
              <w:rPr>
                <w:rFonts w:eastAsia="宋体"/>
                <w:sz w:val="21"/>
                <w:szCs w:val="21"/>
              </w:rPr>
            </w:pPr>
            <w:r>
              <w:rPr>
                <w:rFonts w:hint="eastAsia" w:eastAsia="宋体"/>
                <w:sz w:val="21"/>
                <w:szCs w:val="21"/>
              </w:rPr>
              <w:t>-</w:t>
            </w:r>
          </w:p>
        </w:tc>
        <w:tc>
          <w:tcPr>
            <w:tcW w:w="1572" w:type="dxa"/>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rPr>
              <w:t>1.2</w:t>
            </w:r>
            <w:r>
              <w:rPr>
                <w:rFonts w:hint="eastAsia" w:eastAsia="宋体"/>
                <w:sz w:val="21"/>
                <w:szCs w:val="21"/>
                <w:lang w:val="en-US" w:eastAsia="zh-CN"/>
              </w:rPr>
              <w:t>8</w:t>
            </w:r>
          </w:p>
        </w:tc>
        <w:tc>
          <w:tcPr>
            <w:tcW w:w="1530" w:type="dxa"/>
            <w:vAlign w:val="center"/>
          </w:tcPr>
          <w:p>
            <w:pPr>
              <w:spacing w:line="240" w:lineRule="auto"/>
              <w:jc w:val="center"/>
              <w:rPr>
                <w:rFonts w:eastAsia="宋体"/>
                <w:sz w:val="21"/>
                <w:szCs w:val="21"/>
              </w:rPr>
            </w:pPr>
            <w:r>
              <w:rPr>
                <w:rFonts w:hint="eastAsia" w:eastAsia="宋体"/>
                <w:sz w:val="21"/>
                <w:szCs w:val="21"/>
              </w:rPr>
              <w:t>0</w:t>
            </w:r>
          </w:p>
        </w:tc>
        <w:tc>
          <w:tcPr>
            <w:tcW w:w="1895" w:type="dxa"/>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rPr>
              <w:t>1.2</w:t>
            </w:r>
            <w:r>
              <w:rPr>
                <w:rFonts w:hint="eastAsia" w:eastAsia="宋体"/>
                <w:sz w:val="21"/>
                <w:szCs w:val="21"/>
                <w:lang w:val="en-US" w:eastAsia="zh-CN"/>
              </w:rPr>
              <w:t>8</w:t>
            </w:r>
          </w:p>
        </w:tc>
        <w:tc>
          <w:tcPr>
            <w:tcW w:w="1252" w:type="dxa"/>
            <w:vAlign w:val="center"/>
          </w:tcPr>
          <w:p>
            <w:pPr>
              <w:widowControl/>
              <w:adjustRightInd w:val="0"/>
              <w:snapToGrid w:val="0"/>
              <w:spacing w:line="240" w:lineRule="auto"/>
              <w:jc w:val="center"/>
              <w:rPr>
                <w:rFonts w:hint="eastAsia" w:eastAsia="宋体"/>
                <w:sz w:val="21"/>
                <w:szCs w:val="21"/>
                <w:lang w:eastAsia="zh-CN"/>
              </w:rPr>
            </w:pPr>
            <w:r>
              <w:rPr>
                <w:rFonts w:hint="eastAsia" w:eastAsia="宋体"/>
                <w:sz w:val="21"/>
                <w:szCs w:val="21"/>
              </w:rPr>
              <w:t>+1.2</w:t>
            </w:r>
            <w:r>
              <w:rPr>
                <w:rFonts w:hint="eastAsia" w:eastAsia="宋体"/>
                <w:sz w:val="21"/>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Merge w:val="continue"/>
            <w:vAlign w:val="center"/>
          </w:tcPr>
          <w:p>
            <w:pPr>
              <w:pStyle w:val="40"/>
              <w:spacing w:line="240" w:lineRule="auto"/>
              <w:ind w:firstLine="0" w:firstLineChars="0"/>
              <w:jc w:val="center"/>
              <w:rPr>
                <w:rFonts w:eastAsia="宋体"/>
                <w:sz w:val="21"/>
                <w:szCs w:val="21"/>
              </w:rPr>
            </w:pPr>
          </w:p>
        </w:tc>
        <w:tc>
          <w:tcPr>
            <w:tcW w:w="2061" w:type="dxa"/>
            <w:vAlign w:val="center"/>
          </w:tcPr>
          <w:p>
            <w:pPr>
              <w:pStyle w:val="40"/>
              <w:spacing w:line="240" w:lineRule="auto"/>
              <w:ind w:firstLine="0" w:firstLineChars="0"/>
              <w:jc w:val="center"/>
              <w:rPr>
                <w:rFonts w:hint="default" w:eastAsia="宋体"/>
                <w:sz w:val="21"/>
                <w:szCs w:val="21"/>
                <w:lang w:val="en-US" w:eastAsia="zh-CN"/>
              </w:rPr>
            </w:pPr>
            <w:r>
              <w:rPr>
                <w:rFonts w:hint="eastAsia" w:eastAsia="宋体"/>
                <w:sz w:val="21"/>
                <w:szCs w:val="21"/>
                <w:lang w:val="en-US" w:eastAsia="zh-CN"/>
              </w:rPr>
              <w:t>生活垃圾</w:t>
            </w:r>
          </w:p>
        </w:tc>
        <w:tc>
          <w:tcPr>
            <w:tcW w:w="1611" w:type="dxa"/>
            <w:vAlign w:val="top"/>
          </w:tcPr>
          <w:p>
            <w:pPr>
              <w:spacing w:line="240" w:lineRule="auto"/>
              <w:jc w:val="center"/>
              <w:rPr>
                <w:rFonts w:hint="eastAsia" w:eastAsia="宋体"/>
                <w:sz w:val="21"/>
                <w:szCs w:val="21"/>
              </w:rPr>
            </w:pPr>
            <w:r>
              <w:rPr>
                <w:rFonts w:hint="eastAsia" w:eastAsia="宋体"/>
                <w:sz w:val="21"/>
                <w:szCs w:val="21"/>
              </w:rPr>
              <w:t>-</w:t>
            </w:r>
          </w:p>
        </w:tc>
        <w:tc>
          <w:tcPr>
            <w:tcW w:w="1370" w:type="dxa"/>
            <w:vAlign w:val="top"/>
          </w:tcPr>
          <w:p>
            <w:pPr>
              <w:spacing w:line="240" w:lineRule="auto"/>
              <w:jc w:val="center"/>
              <w:rPr>
                <w:rFonts w:hint="eastAsia" w:eastAsia="宋体"/>
                <w:sz w:val="21"/>
                <w:szCs w:val="21"/>
              </w:rPr>
            </w:pPr>
            <w:r>
              <w:rPr>
                <w:rFonts w:hint="eastAsia" w:eastAsia="宋体"/>
                <w:sz w:val="21"/>
                <w:szCs w:val="21"/>
              </w:rPr>
              <w:t>-</w:t>
            </w:r>
          </w:p>
        </w:tc>
        <w:tc>
          <w:tcPr>
            <w:tcW w:w="1452" w:type="dxa"/>
            <w:vAlign w:val="top"/>
          </w:tcPr>
          <w:p>
            <w:pPr>
              <w:spacing w:line="240" w:lineRule="auto"/>
              <w:jc w:val="center"/>
              <w:rPr>
                <w:rFonts w:hint="eastAsia" w:eastAsia="宋体"/>
                <w:sz w:val="21"/>
                <w:szCs w:val="21"/>
              </w:rPr>
            </w:pPr>
            <w:r>
              <w:rPr>
                <w:rFonts w:hint="eastAsia" w:eastAsia="宋体"/>
                <w:sz w:val="21"/>
                <w:szCs w:val="21"/>
              </w:rPr>
              <w:t>-</w:t>
            </w:r>
          </w:p>
        </w:tc>
        <w:tc>
          <w:tcPr>
            <w:tcW w:w="1572" w:type="dxa"/>
            <w:vAlign w:val="center"/>
          </w:tcPr>
          <w:p>
            <w:pPr>
              <w:widowControl/>
              <w:adjustRightInd w:val="0"/>
              <w:snapToGrid w:val="0"/>
              <w:spacing w:line="240" w:lineRule="auto"/>
              <w:jc w:val="center"/>
              <w:rPr>
                <w:rFonts w:hint="default" w:eastAsia="宋体"/>
                <w:sz w:val="21"/>
                <w:szCs w:val="21"/>
                <w:lang w:val="en-US" w:eastAsia="zh-CN"/>
              </w:rPr>
            </w:pPr>
            <w:r>
              <w:rPr>
                <w:rFonts w:hint="eastAsia" w:eastAsia="宋体"/>
                <w:sz w:val="21"/>
                <w:szCs w:val="21"/>
                <w:lang w:val="en-US" w:eastAsia="zh-CN"/>
              </w:rPr>
              <w:t>269.54</w:t>
            </w:r>
          </w:p>
        </w:tc>
        <w:tc>
          <w:tcPr>
            <w:tcW w:w="1530" w:type="dxa"/>
            <w:vAlign w:val="center"/>
          </w:tcPr>
          <w:p>
            <w:pPr>
              <w:spacing w:line="240" w:lineRule="auto"/>
              <w:jc w:val="center"/>
              <w:rPr>
                <w:rFonts w:hint="eastAsia" w:eastAsia="宋体"/>
                <w:sz w:val="21"/>
                <w:szCs w:val="21"/>
                <w:lang w:val="en-US" w:eastAsia="zh-CN"/>
              </w:rPr>
            </w:pPr>
            <w:r>
              <w:rPr>
                <w:rFonts w:hint="eastAsia" w:eastAsia="宋体"/>
                <w:sz w:val="21"/>
                <w:szCs w:val="21"/>
                <w:lang w:val="en-US" w:eastAsia="zh-CN"/>
              </w:rPr>
              <w:t>0</w:t>
            </w:r>
          </w:p>
        </w:tc>
        <w:tc>
          <w:tcPr>
            <w:tcW w:w="1895" w:type="dxa"/>
            <w:vAlign w:val="center"/>
          </w:tcPr>
          <w:p>
            <w:pPr>
              <w:widowControl/>
              <w:adjustRightInd w:val="0"/>
              <w:snapToGrid w:val="0"/>
              <w:spacing w:line="240" w:lineRule="auto"/>
              <w:jc w:val="center"/>
              <w:rPr>
                <w:rFonts w:hint="default" w:eastAsia="宋体"/>
                <w:sz w:val="21"/>
                <w:szCs w:val="21"/>
                <w:lang w:val="en-US" w:eastAsia="zh-CN"/>
              </w:rPr>
            </w:pPr>
            <w:r>
              <w:rPr>
                <w:rFonts w:hint="eastAsia" w:eastAsia="宋体"/>
                <w:sz w:val="21"/>
                <w:szCs w:val="21"/>
                <w:lang w:val="en-US" w:eastAsia="zh-CN"/>
              </w:rPr>
              <w:t>269.54</w:t>
            </w:r>
          </w:p>
        </w:tc>
        <w:tc>
          <w:tcPr>
            <w:tcW w:w="1252" w:type="dxa"/>
            <w:vAlign w:val="center"/>
          </w:tcPr>
          <w:p>
            <w:pPr>
              <w:widowControl/>
              <w:adjustRightInd w:val="0"/>
              <w:snapToGrid w:val="0"/>
              <w:spacing w:line="240" w:lineRule="auto"/>
              <w:jc w:val="center"/>
              <w:rPr>
                <w:rFonts w:hint="default" w:eastAsia="宋体"/>
                <w:sz w:val="21"/>
                <w:szCs w:val="21"/>
                <w:lang w:val="en-US" w:eastAsia="zh-CN"/>
              </w:rPr>
            </w:pPr>
            <w:r>
              <w:rPr>
                <w:rFonts w:hint="eastAsia" w:eastAsia="宋体"/>
                <w:sz w:val="21"/>
                <w:szCs w:val="21"/>
                <w:lang w:val="en-US" w:eastAsia="zh-CN"/>
              </w:rPr>
              <w:t>+269.54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5" w:type="dxa"/>
            <w:vMerge w:val="restart"/>
            <w:vAlign w:val="center"/>
          </w:tcPr>
          <w:p>
            <w:pPr>
              <w:pStyle w:val="40"/>
              <w:spacing w:line="240" w:lineRule="auto"/>
              <w:ind w:firstLine="0" w:firstLineChars="0"/>
              <w:jc w:val="center"/>
              <w:rPr>
                <w:rFonts w:eastAsia="宋体"/>
                <w:sz w:val="21"/>
                <w:szCs w:val="21"/>
              </w:rPr>
            </w:pPr>
            <w:r>
              <w:rPr>
                <w:rFonts w:eastAsia="宋体"/>
                <w:sz w:val="21"/>
                <w:szCs w:val="21"/>
              </w:rPr>
              <w:t>危险废物</w:t>
            </w:r>
          </w:p>
        </w:tc>
        <w:tc>
          <w:tcPr>
            <w:tcW w:w="2061" w:type="dxa"/>
            <w:vAlign w:val="center"/>
          </w:tcPr>
          <w:p>
            <w:pPr>
              <w:pStyle w:val="40"/>
              <w:spacing w:line="240" w:lineRule="auto"/>
              <w:ind w:firstLine="0" w:firstLineChars="0"/>
              <w:jc w:val="center"/>
              <w:rPr>
                <w:rFonts w:eastAsia="宋体"/>
                <w:sz w:val="21"/>
                <w:szCs w:val="21"/>
              </w:rPr>
            </w:pPr>
            <w:r>
              <w:rPr>
                <w:rFonts w:hint="eastAsia" w:eastAsia="宋体"/>
                <w:sz w:val="21"/>
                <w:szCs w:val="21"/>
              </w:rPr>
              <w:t>医务室废物</w:t>
            </w:r>
          </w:p>
        </w:tc>
        <w:tc>
          <w:tcPr>
            <w:tcW w:w="1611" w:type="dxa"/>
            <w:vAlign w:val="center"/>
          </w:tcPr>
          <w:p>
            <w:pPr>
              <w:spacing w:line="240" w:lineRule="auto"/>
              <w:jc w:val="center"/>
              <w:rPr>
                <w:rFonts w:eastAsia="宋体"/>
                <w:sz w:val="21"/>
                <w:szCs w:val="21"/>
              </w:rPr>
            </w:pPr>
            <w:r>
              <w:rPr>
                <w:rFonts w:hint="eastAsia" w:eastAsia="宋体"/>
                <w:sz w:val="21"/>
                <w:szCs w:val="21"/>
              </w:rPr>
              <w:t>-</w:t>
            </w:r>
          </w:p>
        </w:tc>
        <w:tc>
          <w:tcPr>
            <w:tcW w:w="1370" w:type="dxa"/>
            <w:vAlign w:val="center"/>
          </w:tcPr>
          <w:p>
            <w:pPr>
              <w:spacing w:line="240" w:lineRule="auto"/>
              <w:jc w:val="center"/>
              <w:rPr>
                <w:rFonts w:eastAsia="宋体"/>
                <w:sz w:val="21"/>
                <w:szCs w:val="21"/>
              </w:rPr>
            </w:pPr>
            <w:r>
              <w:rPr>
                <w:rFonts w:hint="eastAsia" w:eastAsia="宋体"/>
                <w:sz w:val="21"/>
                <w:szCs w:val="21"/>
              </w:rPr>
              <w:t>-</w:t>
            </w:r>
          </w:p>
        </w:tc>
        <w:tc>
          <w:tcPr>
            <w:tcW w:w="1452" w:type="dxa"/>
            <w:vAlign w:val="center"/>
          </w:tcPr>
          <w:p>
            <w:pPr>
              <w:spacing w:line="240" w:lineRule="auto"/>
              <w:jc w:val="center"/>
              <w:rPr>
                <w:rFonts w:eastAsia="宋体"/>
                <w:sz w:val="21"/>
                <w:szCs w:val="21"/>
              </w:rPr>
            </w:pPr>
            <w:r>
              <w:rPr>
                <w:rFonts w:hint="eastAsia" w:eastAsia="宋体"/>
                <w:sz w:val="21"/>
                <w:szCs w:val="21"/>
              </w:rPr>
              <w:t>-</w:t>
            </w:r>
          </w:p>
        </w:tc>
        <w:tc>
          <w:tcPr>
            <w:tcW w:w="1572" w:type="dxa"/>
            <w:vAlign w:val="center"/>
          </w:tcPr>
          <w:p>
            <w:pPr>
              <w:widowControl/>
              <w:adjustRightInd w:val="0"/>
              <w:snapToGrid w:val="0"/>
              <w:spacing w:line="240" w:lineRule="auto"/>
              <w:jc w:val="center"/>
              <w:rPr>
                <w:rFonts w:eastAsia="宋体"/>
                <w:sz w:val="21"/>
                <w:szCs w:val="21"/>
              </w:rPr>
            </w:pPr>
            <w:r>
              <w:rPr>
                <w:rFonts w:hint="eastAsia" w:eastAsia="宋体"/>
                <w:sz w:val="21"/>
                <w:szCs w:val="21"/>
              </w:rPr>
              <w:t>1</w:t>
            </w:r>
            <w:r>
              <w:rPr>
                <w:rFonts w:eastAsia="宋体"/>
                <w:sz w:val="21"/>
                <w:szCs w:val="21"/>
              </w:rPr>
              <w:t>.0</w:t>
            </w:r>
          </w:p>
        </w:tc>
        <w:tc>
          <w:tcPr>
            <w:tcW w:w="1530" w:type="dxa"/>
            <w:vAlign w:val="center"/>
          </w:tcPr>
          <w:p>
            <w:pPr>
              <w:spacing w:line="240" w:lineRule="auto"/>
              <w:jc w:val="center"/>
              <w:rPr>
                <w:rFonts w:eastAsia="宋体"/>
                <w:sz w:val="21"/>
                <w:szCs w:val="21"/>
              </w:rPr>
            </w:pPr>
            <w:r>
              <w:rPr>
                <w:rFonts w:eastAsia="宋体"/>
                <w:sz w:val="21"/>
                <w:szCs w:val="21"/>
              </w:rPr>
              <w:t>0</w:t>
            </w:r>
          </w:p>
        </w:tc>
        <w:tc>
          <w:tcPr>
            <w:tcW w:w="1895" w:type="dxa"/>
            <w:vAlign w:val="center"/>
          </w:tcPr>
          <w:p>
            <w:pPr>
              <w:widowControl/>
              <w:adjustRightInd w:val="0"/>
              <w:snapToGrid w:val="0"/>
              <w:spacing w:line="240" w:lineRule="auto"/>
              <w:jc w:val="center"/>
              <w:rPr>
                <w:rFonts w:eastAsia="宋体"/>
                <w:sz w:val="21"/>
                <w:szCs w:val="21"/>
              </w:rPr>
            </w:pPr>
            <w:r>
              <w:rPr>
                <w:rFonts w:hint="eastAsia" w:eastAsia="宋体"/>
                <w:sz w:val="21"/>
                <w:szCs w:val="21"/>
              </w:rPr>
              <w:t>1</w:t>
            </w:r>
            <w:r>
              <w:rPr>
                <w:rFonts w:eastAsia="宋体"/>
                <w:sz w:val="21"/>
                <w:szCs w:val="21"/>
              </w:rPr>
              <w:t>.0</w:t>
            </w:r>
          </w:p>
        </w:tc>
        <w:tc>
          <w:tcPr>
            <w:tcW w:w="1252" w:type="dxa"/>
            <w:vAlign w:val="center"/>
          </w:tcPr>
          <w:p>
            <w:pPr>
              <w:widowControl/>
              <w:adjustRightInd w:val="0"/>
              <w:snapToGrid w:val="0"/>
              <w:spacing w:line="240" w:lineRule="auto"/>
              <w:jc w:val="center"/>
              <w:rPr>
                <w:rFonts w:eastAsia="宋体"/>
                <w:sz w:val="21"/>
                <w:szCs w:val="21"/>
              </w:rPr>
            </w:pPr>
            <w:r>
              <w:rPr>
                <w:rFonts w:hint="eastAsia" w:eastAsia="宋体"/>
                <w:sz w:val="21"/>
                <w:szCs w:val="21"/>
              </w:rPr>
              <w:t>+1</w:t>
            </w:r>
            <w:r>
              <w:rPr>
                <w:rFonts w:eastAsia="宋体"/>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5" w:type="dxa"/>
            <w:vMerge w:val="continue"/>
            <w:vAlign w:val="center"/>
          </w:tcPr>
          <w:p>
            <w:pPr>
              <w:pStyle w:val="40"/>
              <w:spacing w:line="240" w:lineRule="auto"/>
              <w:ind w:firstLine="0" w:firstLineChars="0"/>
              <w:jc w:val="center"/>
              <w:rPr>
                <w:rFonts w:eastAsia="宋体"/>
                <w:sz w:val="21"/>
                <w:szCs w:val="21"/>
              </w:rPr>
            </w:pPr>
          </w:p>
        </w:tc>
        <w:tc>
          <w:tcPr>
            <w:tcW w:w="2061" w:type="dxa"/>
            <w:vAlign w:val="center"/>
          </w:tcPr>
          <w:p>
            <w:pPr>
              <w:pStyle w:val="40"/>
              <w:spacing w:line="240" w:lineRule="auto"/>
              <w:ind w:firstLine="0" w:firstLineChars="0"/>
              <w:jc w:val="center"/>
              <w:rPr>
                <w:rFonts w:eastAsia="宋体"/>
                <w:sz w:val="21"/>
                <w:szCs w:val="21"/>
              </w:rPr>
            </w:pPr>
            <w:r>
              <w:rPr>
                <w:rFonts w:hint="eastAsia" w:eastAsia="宋体"/>
                <w:sz w:val="21"/>
                <w:szCs w:val="21"/>
              </w:rPr>
              <w:t>实验室废物</w:t>
            </w:r>
          </w:p>
        </w:tc>
        <w:tc>
          <w:tcPr>
            <w:tcW w:w="1611" w:type="dxa"/>
            <w:vAlign w:val="center"/>
          </w:tcPr>
          <w:p>
            <w:pPr>
              <w:spacing w:line="240" w:lineRule="auto"/>
              <w:jc w:val="center"/>
              <w:rPr>
                <w:rFonts w:eastAsia="宋体"/>
                <w:sz w:val="21"/>
                <w:szCs w:val="21"/>
              </w:rPr>
            </w:pPr>
            <w:r>
              <w:rPr>
                <w:rFonts w:hint="eastAsia" w:eastAsia="宋体"/>
                <w:sz w:val="21"/>
                <w:szCs w:val="21"/>
              </w:rPr>
              <w:t>-</w:t>
            </w:r>
          </w:p>
        </w:tc>
        <w:tc>
          <w:tcPr>
            <w:tcW w:w="1370" w:type="dxa"/>
            <w:vAlign w:val="center"/>
          </w:tcPr>
          <w:p>
            <w:pPr>
              <w:spacing w:line="240" w:lineRule="auto"/>
              <w:jc w:val="center"/>
              <w:rPr>
                <w:rFonts w:eastAsia="宋体"/>
                <w:sz w:val="21"/>
                <w:szCs w:val="21"/>
              </w:rPr>
            </w:pPr>
            <w:r>
              <w:rPr>
                <w:rFonts w:hint="eastAsia" w:eastAsia="宋体"/>
                <w:sz w:val="21"/>
                <w:szCs w:val="21"/>
              </w:rPr>
              <w:t>-</w:t>
            </w:r>
          </w:p>
        </w:tc>
        <w:tc>
          <w:tcPr>
            <w:tcW w:w="1452" w:type="dxa"/>
            <w:vAlign w:val="center"/>
          </w:tcPr>
          <w:p>
            <w:pPr>
              <w:spacing w:line="240" w:lineRule="auto"/>
              <w:jc w:val="center"/>
              <w:rPr>
                <w:rFonts w:eastAsia="宋体"/>
                <w:sz w:val="21"/>
                <w:szCs w:val="21"/>
              </w:rPr>
            </w:pPr>
            <w:r>
              <w:rPr>
                <w:rFonts w:hint="eastAsia" w:eastAsia="宋体"/>
                <w:sz w:val="21"/>
                <w:szCs w:val="21"/>
              </w:rPr>
              <w:t>-</w:t>
            </w:r>
          </w:p>
        </w:tc>
        <w:tc>
          <w:tcPr>
            <w:tcW w:w="1572" w:type="dxa"/>
            <w:vAlign w:val="center"/>
          </w:tcPr>
          <w:p>
            <w:pPr>
              <w:widowControl/>
              <w:adjustRightInd w:val="0"/>
              <w:snapToGrid w:val="0"/>
              <w:spacing w:line="240" w:lineRule="auto"/>
              <w:jc w:val="center"/>
              <w:rPr>
                <w:rFonts w:eastAsia="宋体"/>
                <w:sz w:val="21"/>
                <w:szCs w:val="21"/>
              </w:rPr>
            </w:pPr>
            <w:r>
              <w:rPr>
                <w:rFonts w:hint="eastAsia" w:eastAsia="宋体"/>
                <w:sz w:val="21"/>
                <w:szCs w:val="21"/>
              </w:rPr>
              <w:t>3.0</w:t>
            </w:r>
          </w:p>
        </w:tc>
        <w:tc>
          <w:tcPr>
            <w:tcW w:w="1530" w:type="dxa"/>
            <w:vAlign w:val="center"/>
          </w:tcPr>
          <w:p>
            <w:pPr>
              <w:spacing w:line="240" w:lineRule="auto"/>
              <w:jc w:val="center"/>
              <w:rPr>
                <w:rFonts w:eastAsia="宋体"/>
                <w:sz w:val="21"/>
                <w:szCs w:val="21"/>
              </w:rPr>
            </w:pPr>
            <w:r>
              <w:rPr>
                <w:rFonts w:eastAsia="宋体"/>
                <w:sz w:val="21"/>
                <w:szCs w:val="21"/>
              </w:rPr>
              <w:t>0</w:t>
            </w:r>
          </w:p>
        </w:tc>
        <w:tc>
          <w:tcPr>
            <w:tcW w:w="1895" w:type="dxa"/>
            <w:vAlign w:val="center"/>
          </w:tcPr>
          <w:p>
            <w:pPr>
              <w:widowControl/>
              <w:adjustRightInd w:val="0"/>
              <w:snapToGrid w:val="0"/>
              <w:spacing w:line="240" w:lineRule="auto"/>
              <w:jc w:val="center"/>
              <w:rPr>
                <w:rFonts w:eastAsia="宋体"/>
                <w:sz w:val="21"/>
                <w:szCs w:val="21"/>
              </w:rPr>
            </w:pPr>
            <w:r>
              <w:rPr>
                <w:rFonts w:hint="eastAsia" w:eastAsia="宋体"/>
                <w:sz w:val="21"/>
                <w:szCs w:val="21"/>
              </w:rPr>
              <w:t>3.0</w:t>
            </w:r>
          </w:p>
        </w:tc>
        <w:tc>
          <w:tcPr>
            <w:tcW w:w="1252" w:type="dxa"/>
            <w:vAlign w:val="center"/>
          </w:tcPr>
          <w:p>
            <w:pPr>
              <w:widowControl/>
              <w:adjustRightInd w:val="0"/>
              <w:snapToGrid w:val="0"/>
              <w:spacing w:line="240" w:lineRule="auto"/>
              <w:jc w:val="center"/>
              <w:rPr>
                <w:rFonts w:eastAsia="宋体"/>
                <w:sz w:val="21"/>
                <w:szCs w:val="21"/>
              </w:rPr>
            </w:pPr>
            <w:r>
              <w:rPr>
                <w:rFonts w:hint="eastAsia" w:eastAsia="宋体"/>
                <w:sz w:val="21"/>
                <w:szCs w:val="21"/>
              </w:rPr>
              <w:t>+3.0</w:t>
            </w:r>
          </w:p>
        </w:tc>
      </w:tr>
    </w:tbl>
    <w:p>
      <w:pPr>
        <w:pStyle w:val="40"/>
        <w:adjustRightInd w:val="0"/>
        <w:snapToGrid w:val="0"/>
        <w:spacing w:line="240" w:lineRule="auto"/>
        <w:ind w:firstLine="0" w:firstLineChars="0"/>
        <w:rPr>
          <w:rFonts w:eastAsia="宋体"/>
        </w:rPr>
      </w:pPr>
      <w:r>
        <w:rPr>
          <w:rFonts w:eastAsia="宋体"/>
        </w:rPr>
        <w:t>注：</w:t>
      </w:r>
      <w:r>
        <w:rPr>
          <w:rFonts w:hint="eastAsia" w:ascii="宋体" w:hAnsi="宋体" w:eastAsia="宋体" w:cs="宋体"/>
        </w:rPr>
        <w:t>⑥</w:t>
      </w:r>
      <w:r>
        <w:rPr>
          <w:rFonts w:eastAsia="宋体"/>
        </w:rPr>
        <w:t>=</w:t>
      </w:r>
      <w:r>
        <w:rPr>
          <w:rFonts w:hint="eastAsia" w:ascii="宋体" w:hAnsi="宋体" w:eastAsia="宋体" w:cs="宋体"/>
        </w:rPr>
        <w:t>①</w:t>
      </w:r>
      <w:r>
        <w:rPr>
          <w:rFonts w:eastAsia="宋体"/>
        </w:rPr>
        <w:t>+</w:t>
      </w:r>
      <w:r>
        <w:rPr>
          <w:rFonts w:hint="eastAsia" w:ascii="宋体" w:hAnsi="宋体" w:eastAsia="宋体" w:cs="宋体"/>
        </w:rPr>
        <w:t>③</w:t>
      </w:r>
      <w:r>
        <w:rPr>
          <w:rFonts w:eastAsia="宋体"/>
        </w:rPr>
        <w:t>+</w:t>
      </w:r>
      <w:r>
        <w:rPr>
          <w:rFonts w:hint="eastAsia" w:ascii="宋体" w:hAnsi="宋体" w:eastAsia="宋体" w:cs="宋体"/>
        </w:rPr>
        <w:t>④</w:t>
      </w:r>
      <w:r>
        <w:rPr>
          <w:rFonts w:eastAsia="宋体"/>
        </w:rPr>
        <w:t>-</w:t>
      </w:r>
      <w:r>
        <w:rPr>
          <w:rFonts w:hint="eastAsia" w:ascii="宋体" w:hAnsi="宋体" w:eastAsia="宋体" w:cs="宋体"/>
        </w:rPr>
        <w:t>⑤</w:t>
      </w:r>
      <w:r>
        <w:rPr>
          <w:rFonts w:eastAsia="宋体"/>
        </w:rPr>
        <w:t>；</w:t>
      </w:r>
      <w:r>
        <w:rPr>
          <w:rFonts w:hint="eastAsia" w:ascii="宋体" w:hAnsi="宋体" w:eastAsia="宋体" w:cs="宋体"/>
        </w:rPr>
        <w:t>⑦</w:t>
      </w:r>
      <w:r>
        <w:rPr>
          <w:rFonts w:eastAsia="宋体"/>
        </w:rPr>
        <w:t>=</w:t>
      </w:r>
      <w:r>
        <w:rPr>
          <w:rFonts w:hint="eastAsia" w:ascii="宋体" w:hAnsi="宋体" w:eastAsia="宋体" w:cs="宋体"/>
        </w:rPr>
        <w:t>⑥</w:t>
      </w:r>
      <w:r>
        <w:rPr>
          <w:rFonts w:eastAsia="宋体"/>
        </w:rPr>
        <w:t>-</w:t>
      </w:r>
      <w:r>
        <w:rPr>
          <w:rFonts w:hint="eastAsia" w:ascii="宋体" w:hAnsi="宋体" w:eastAsia="宋体" w:cs="宋体"/>
        </w:rPr>
        <w:t>①</w:t>
      </w:r>
    </w:p>
    <w:p>
      <w:pPr>
        <w:pStyle w:val="16"/>
        <w:spacing w:line="240" w:lineRule="auto"/>
        <w:jc w:val="center"/>
        <w:rPr>
          <w:rFonts w:ascii="Times New Roman" w:hAnsi="Times New Roman" w:eastAsia="宋体" w:cs="Times New Roman"/>
        </w:rPr>
      </w:pPr>
    </w:p>
    <w:p>
      <w:pPr>
        <w:sectPr>
          <w:pgSz w:w="16838" w:h="11906" w:orient="landscape"/>
          <w:pgMar w:top="1800" w:right="1440" w:bottom="1800" w:left="1440" w:header="851" w:footer="992" w:gutter="0"/>
          <w:pgNumType w:fmt="decimal"/>
          <w:cols w:space="425" w:num="1"/>
          <w:docGrid w:type="lines" w:linePitch="326" w:charSpace="0"/>
        </w:sectPr>
      </w:pPr>
    </w:p>
    <w:p>
      <w:pPr>
        <w:pStyle w:val="16"/>
        <w:rPr>
          <w:rFonts w:hint="eastAsia"/>
          <w:lang w:eastAsia="zh-CN"/>
        </w:rPr>
      </w:pPr>
    </w:p>
    <w:sectPr>
      <w:footerReference r:id="rId7" w:type="default"/>
      <w:pgSz w:w="11906" w:h="16838"/>
      <w:pgMar w:top="1440" w:right="1800" w:bottom="1440" w:left="1800" w:header="851" w:footer="992" w:gutter="0"/>
      <w:pgNumType w:fmt="decimal"/>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TimesNewRomanPSMT">
    <w:altName w:val="Times New Roman"/>
    <w:panose1 w:val="00000000000000000000"/>
    <w:charset w:val="00"/>
    <w:family w:val="roman"/>
    <w:pitch w:val="default"/>
    <w:sig w:usb0="00000000" w:usb1="00000000" w:usb2="00000001" w:usb3="00000000" w:csb0="400001BF" w:csb1="DFF7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68</w:t>
                    </w:r>
                    <w:r>
                      <w:fldChar w:fldCharType="end"/>
                    </w:r>
                  </w:p>
                </w:txbxContent>
              </v:textbox>
            </v:shape>
          </w:pict>
        </mc:Fallback>
      </mc:AlternateContent>
    </w:r>
    <w:sdt>
      <w:sdtPr>
        <w:id w:val="6265937"/>
      </w:sdtPr>
      <w:sdtContent/>
    </w:sdt>
  </w:p>
  <w:p>
    <w:pPr>
      <w:pStyle w:val="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3F04CA"/>
    <w:multiLevelType w:val="multilevel"/>
    <w:tmpl w:val="223F04CA"/>
    <w:lvl w:ilvl="0" w:tentative="0">
      <w:start w:val="1"/>
      <w:numFmt w:val="decimal"/>
      <w:pStyle w:val="9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526E361"/>
    <w:multiLevelType w:val="singleLevel"/>
    <w:tmpl w:val="2526E361"/>
    <w:lvl w:ilvl="0" w:tentative="0">
      <w:start w:val="1"/>
      <w:numFmt w:val="decimal"/>
      <w:pStyle w:val="62"/>
      <w:suff w:val="nothing"/>
      <w:lvlText w:val="（%1）"/>
      <w:lvlJc w:val="left"/>
    </w:lvl>
  </w:abstractNum>
  <w:abstractNum w:abstractNumId="2">
    <w:nsid w:val="29FE42FD"/>
    <w:multiLevelType w:val="multilevel"/>
    <w:tmpl w:val="29FE42FD"/>
    <w:lvl w:ilvl="0" w:tentative="0">
      <w:start w:val="1"/>
      <w:numFmt w:val="decimal"/>
      <w:suff w:val="space"/>
      <w:lvlText w:val="%1"/>
      <w:lvlJc w:val="left"/>
      <w:pPr>
        <w:ind w:left="0" w:firstLine="0"/>
      </w:pPr>
      <w:rPr>
        <w:rFonts w:hint="eastAsia"/>
      </w:rPr>
    </w:lvl>
    <w:lvl w:ilvl="1" w:tentative="0">
      <w:start w:val="1"/>
      <w:numFmt w:val="decimal"/>
      <w:lvlText w:val="%1.%2"/>
      <w:lvlJc w:val="left"/>
      <w:pPr>
        <w:tabs>
          <w:tab w:val="left" w:pos="425"/>
        </w:tabs>
        <w:ind w:left="0" w:firstLine="0"/>
      </w:pPr>
      <w:rPr>
        <w:rFonts w:hint="default" w:ascii="Times New Roman" w:hAnsi="Times New Roman" w:cs="Times New Roman"/>
        <w:sz w:val="28"/>
        <w:szCs w:val="28"/>
      </w:rPr>
    </w:lvl>
    <w:lvl w:ilvl="2" w:tentative="0">
      <w:start w:val="1"/>
      <w:numFmt w:val="decimal"/>
      <w:suff w:val="nothing"/>
      <w:lvlText w:val="%1.%2.%3"/>
      <w:lvlJc w:val="left"/>
      <w:pPr>
        <w:ind w:left="0" w:firstLine="0"/>
      </w:pPr>
      <w:rPr>
        <w:rFonts w:hint="default" w:ascii="Times New Roman" w:hAnsi="Times New Roman" w:cs="Times New Roman"/>
        <w:lang w:val="en-US"/>
      </w:rPr>
    </w:lvl>
    <w:lvl w:ilvl="3" w:tentative="0">
      <w:start w:val="1"/>
      <w:numFmt w:val="decimal"/>
      <w:pStyle w:val="133"/>
      <w:suff w:val="nothing"/>
      <w:lvlText w:val="%1.%2.%3.%4"/>
      <w:lvlJc w:val="left"/>
      <w:pPr>
        <w:ind w:left="994" w:hanging="994"/>
      </w:pPr>
      <w:rPr>
        <w:rFonts w:hint="default" w:ascii="Times New Roman" w:hAnsi="Times New Roman" w:cs="Times New Roman"/>
        <w:lang w:val="zh-CN"/>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351B069B"/>
    <w:multiLevelType w:val="multilevel"/>
    <w:tmpl w:val="351B069B"/>
    <w:lvl w:ilvl="0" w:tentative="0">
      <w:start w:val="1"/>
      <w:numFmt w:val="decimal"/>
      <w:pStyle w:val="151"/>
      <w:lvlText w:val="表2-%1"/>
      <w:lvlJc w:val="center"/>
      <w:pPr>
        <w:ind w:left="420" w:hanging="420"/>
      </w:pPr>
      <w:rPr>
        <w:rFonts w:hint="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ind w:left="840" w:hanging="420"/>
      </w:pPr>
      <w:rPr>
        <w:rFonts w:hint="eastAsia"/>
      </w:rPr>
    </w:lvl>
    <w:lvl w:ilvl="2" w:tentative="0">
      <w:start w:val="1"/>
      <w:numFmt w:val="lowerRoman"/>
      <w:pStyle w:val="152"/>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5CD9464C"/>
    <w:multiLevelType w:val="multilevel"/>
    <w:tmpl w:val="5CD9464C"/>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4NzQzYWIyYjk5MjVjNTE1MWIwNzc3NTAwMjNmYzQifQ=="/>
  </w:docVars>
  <w:rsids>
    <w:rsidRoot w:val="00B077B7"/>
    <w:rsid w:val="000027BE"/>
    <w:rsid w:val="0000507B"/>
    <w:rsid w:val="00013A4B"/>
    <w:rsid w:val="00014049"/>
    <w:rsid w:val="0001497A"/>
    <w:rsid w:val="00017F29"/>
    <w:rsid w:val="00022DE9"/>
    <w:rsid w:val="00027546"/>
    <w:rsid w:val="00033D0A"/>
    <w:rsid w:val="00034E35"/>
    <w:rsid w:val="00035C51"/>
    <w:rsid w:val="00037325"/>
    <w:rsid w:val="000517AB"/>
    <w:rsid w:val="00051FED"/>
    <w:rsid w:val="00065014"/>
    <w:rsid w:val="00067A9B"/>
    <w:rsid w:val="00071886"/>
    <w:rsid w:val="00077DEF"/>
    <w:rsid w:val="000805A3"/>
    <w:rsid w:val="00081F54"/>
    <w:rsid w:val="00082B74"/>
    <w:rsid w:val="00084DDC"/>
    <w:rsid w:val="00097FA3"/>
    <w:rsid w:val="000A172B"/>
    <w:rsid w:val="000A7CB5"/>
    <w:rsid w:val="000B1129"/>
    <w:rsid w:val="000B1E59"/>
    <w:rsid w:val="000B202A"/>
    <w:rsid w:val="000B35C5"/>
    <w:rsid w:val="000C6815"/>
    <w:rsid w:val="000C7634"/>
    <w:rsid w:val="000D766E"/>
    <w:rsid w:val="000D7CFE"/>
    <w:rsid w:val="000E1687"/>
    <w:rsid w:val="000E4589"/>
    <w:rsid w:val="000E67CE"/>
    <w:rsid w:val="000F0E09"/>
    <w:rsid w:val="000F2F4E"/>
    <w:rsid w:val="000F4AF1"/>
    <w:rsid w:val="0010770D"/>
    <w:rsid w:val="00107756"/>
    <w:rsid w:val="00114C3B"/>
    <w:rsid w:val="00120140"/>
    <w:rsid w:val="00126B3C"/>
    <w:rsid w:val="00147845"/>
    <w:rsid w:val="001542AC"/>
    <w:rsid w:val="0015615E"/>
    <w:rsid w:val="001608A1"/>
    <w:rsid w:val="00164E6D"/>
    <w:rsid w:val="0016541E"/>
    <w:rsid w:val="00172B26"/>
    <w:rsid w:val="00175502"/>
    <w:rsid w:val="001825C5"/>
    <w:rsid w:val="00183663"/>
    <w:rsid w:val="00187F46"/>
    <w:rsid w:val="0019301D"/>
    <w:rsid w:val="00195C1D"/>
    <w:rsid w:val="00196829"/>
    <w:rsid w:val="001A1947"/>
    <w:rsid w:val="001A3E2C"/>
    <w:rsid w:val="001A784E"/>
    <w:rsid w:val="001B0F95"/>
    <w:rsid w:val="001B35E9"/>
    <w:rsid w:val="001B51A0"/>
    <w:rsid w:val="001B584D"/>
    <w:rsid w:val="001C111C"/>
    <w:rsid w:val="001C16FD"/>
    <w:rsid w:val="001C3354"/>
    <w:rsid w:val="001C33BF"/>
    <w:rsid w:val="001C602B"/>
    <w:rsid w:val="001D4379"/>
    <w:rsid w:val="001D56C2"/>
    <w:rsid w:val="001E70BB"/>
    <w:rsid w:val="001E72B7"/>
    <w:rsid w:val="001F02CD"/>
    <w:rsid w:val="001F125D"/>
    <w:rsid w:val="001F537B"/>
    <w:rsid w:val="001F58DB"/>
    <w:rsid w:val="001F79EC"/>
    <w:rsid w:val="00205586"/>
    <w:rsid w:val="00210024"/>
    <w:rsid w:val="00211A89"/>
    <w:rsid w:val="00212BFA"/>
    <w:rsid w:val="00217AEF"/>
    <w:rsid w:val="00222A80"/>
    <w:rsid w:val="00231A72"/>
    <w:rsid w:val="0023221C"/>
    <w:rsid w:val="00233131"/>
    <w:rsid w:val="002359B7"/>
    <w:rsid w:val="00236975"/>
    <w:rsid w:val="002403DD"/>
    <w:rsid w:val="0024157B"/>
    <w:rsid w:val="00246FFF"/>
    <w:rsid w:val="002524F9"/>
    <w:rsid w:val="00252C31"/>
    <w:rsid w:val="00260C0C"/>
    <w:rsid w:val="002637FE"/>
    <w:rsid w:val="002654C9"/>
    <w:rsid w:val="00266F86"/>
    <w:rsid w:val="00271865"/>
    <w:rsid w:val="00274A9D"/>
    <w:rsid w:val="00283EF2"/>
    <w:rsid w:val="0028404E"/>
    <w:rsid w:val="00286D02"/>
    <w:rsid w:val="0028755D"/>
    <w:rsid w:val="00287AE6"/>
    <w:rsid w:val="00287D51"/>
    <w:rsid w:val="0029143F"/>
    <w:rsid w:val="00297889"/>
    <w:rsid w:val="00297D47"/>
    <w:rsid w:val="002A17FB"/>
    <w:rsid w:val="002A2232"/>
    <w:rsid w:val="002A3ACB"/>
    <w:rsid w:val="002A5EAD"/>
    <w:rsid w:val="002A60AC"/>
    <w:rsid w:val="002B1310"/>
    <w:rsid w:val="002B3DE9"/>
    <w:rsid w:val="002B7B17"/>
    <w:rsid w:val="002C3372"/>
    <w:rsid w:val="002C5F5E"/>
    <w:rsid w:val="002D432C"/>
    <w:rsid w:val="002D4637"/>
    <w:rsid w:val="002D53EF"/>
    <w:rsid w:val="002D6285"/>
    <w:rsid w:val="002D749C"/>
    <w:rsid w:val="002E5154"/>
    <w:rsid w:val="002F27DD"/>
    <w:rsid w:val="002F4E01"/>
    <w:rsid w:val="002F51F1"/>
    <w:rsid w:val="002F6D29"/>
    <w:rsid w:val="00301D9D"/>
    <w:rsid w:val="003025D7"/>
    <w:rsid w:val="003044C8"/>
    <w:rsid w:val="00304609"/>
    <w:rsid w:val="00313FDE"/>
    <w:rsid w:val="003217FA"/>
    <w:rsid w:val="0033125E"/>
    <w:rsid w:val="0033566A"/>
    <w:rsid w:val="003403FA"/>
    <w:rsid w:val="00342D97"/>
    <w:rsid w:val="00352263"/>
    <w:rsid w:val="003524E4"/>
    <w:rsid w:val="0035694F"/>
    <w:rsid w:val="003645AC"/>
    <w:rsid w:val="0036518E"/>
    <w:rsid w:val="00365329"/>
    <w:rsid w:val="00365DAC"/>
    <w:rsid w:val="00366A26"/>
    <w:rsid w:val="00366A96"/>
    <w:rsid w:val="00370D05"/>
    <w:rsid w:val="00371F8B"/>
    <w:rsid w:val="003803FB"/>
    <w:rsid w:val="003838BF"/>
    <w:rsid w:val="003938AB"/>
    <w:rsid w:val="00394FCE"/>
    <w:rsid w:val="003A0A4F"/>
    <w:rsid w:val="003A0BF0"/>
    <w:rsid w:val="003A1D66"/>
    <w:rsid w:val="003A4DE9"/>
    <w:rsid w:val="003A67B3"/>
    <w:rsid w:val="003B2EBD"/>
    <w:rsid w:val="003B3F43"/>
    <w:rsid w:val="003B4FE3"/>
    <w:rsid w:val="003B6E0C"/>
    <w:rsid w:val="003C043F"/>
    <w:rsid w:val="003C06DC"/>
    <w:rsid w:val="003C3B05"/>
    <w:rsid w:val="003C3D21"/>
    <w:rsid w:val="003C3D84"/>
    <w:rsid w:val="003D10CE"/>
    <w:rsid w:val="003D1C58"/>
    <w:rsid w:val="003D25E9"/>
    <w:rsid w:val="003D52A4"/>
    <w:rsid w:val="003D59DF"/>
    <w:rsid w:val="003E1500"/>
    <w:rsid w:val="003E21AA"/>
    <w:rsid w:val="003E65F6"/>
    <w:rsid w:val="003F0266"/>
    <w:rsid w:val="003F215D"/>
    <w:rsid w:val="003F3361"/>
    <w:rsid w:val="003F55AE"/>
    <w:rsid w:val="00400C80"/>
    <w:rsid w:val="0040242C"/>
    <w:rsid w:val="004033D2"/>
    <w:rsid w:val="00403E4B"/>
    <w:rsid w:val="00413B5E"/>
    <w:rsid w:val="00413D97"/>
    <w:rsid w:val="004145AE"/>
    <w:rsid w:val="004145D4"/>
    <w:rsid w:val="00416FB7"/>
    <w:rsid w:val="004220B5"/>
    <w:rsid w:val="00426BE4"/>
    <w:rsid w:val="00433177"/>
    <w:rsid w:val="004352C2"/>
    <w:rsid w:val="00442DBF"/>
    <w:rsid w:val="00446EE8"/>
    <w:rsid w:val="00447262"/>
    <w:rsid w:val="004529AD"/>
    <w:rsid w:val="00453FEA"/>
    <w:rsid w:val="004544E6"/>
    <w:rsid w:val="00456257"/>
    <w:rsid w:val="004562BA"/>
    <w:rsid w:val="004565BB"/>
    <w:rsid w:val="00461446"/>
    <w:rsid w:val="00462577"/>
    <w:rsid w:val="00463D85"/>
    <w:rsid w:val="00464092"/>
    <w:rsid w:val="00466AEA"/>
    <w:rsid w:val="004753CB"/>
    <w:rsid w:val="00494255"/>
    <w:rsid w:val="004959EF"/>
    <w:rsid w:val="004A09C9"/>
    <w:rsid w:val="004A3192"/>
    <w:rsid w:val="004B2BBE"/>
    <w:rsid w:val="004C03A8"/>
    <w:rsid w:val="004C1E59"/>
    <w:rsid w:val="004C49F3"/>
    <w:rsid w:val="004C4A55"/>
    <w:rsid w:val="004C644C"/>
    <w:rsid w:val="004D2B5C"/>
    <w:rsid w:val="004D4EC1"/>
    <w:rsid w:val="004E007B"/>
    <w:rsid w:val="004E14AB"/>
    <w:rsid w:val="004E1AA9"/>
    <w:rsid w:val="004E7519"/>
    <w:rsid w:val="004F180E"/>
    <w:rsid w:val="004F26BC"/>
    <w:rsid w:val="004F336E"/>
    <w:rsid w:val="004F3CA3"/>
    <w:rsid w:val="004F4F9B"/>
    <w:rsid w:val="00512DAF"/>
    <w:rsid w:val="00517DAA"/>
    <w:rsid w:val="005201BF"/>
    <w:rsid w:val="0052225B"/>
    <w:rsid w:val="00526254"/>
    <w:rsid w:val="0053070C"/>
    <w:rsid w:val="0053323D"/>
    <w:rsid w:val="00533587"/>
    <w:rsid w:val="00542D6A"/>
    <w:rsid w:val="005434FE"/>
    <w:rsid w:val="00546083"/>
    <w:rsid w:val="00547734"/>
    <w:rsid w:val="00547A90"/>
    <w:rsid w:val="00560375"/>
    <w:rsid w:val="005610A5"/>
    <w:rsid w:val="00562FCB"/>
    <w:rsid w:val="00563E9A"/>
    <w:rsid w:val="005654E9"/>
    <w:rsid w:val="005709EC"/>
    <w:rsid w:val="00571A06"/>
    <w:rsid w:val="005733CA"/>
    <w:rsid w:val="00574CD0"/>
    <w:rsid w:val="00580C94"/>
    <w:rsid w:val="00581BAD"/>
    <w:rsid w:val="0058246A"/>
    <w:rsid w:val="0058326B"/>
    <w:rsid w:val="00590DA5"/>
    <w:rsid w:val="0059420C"/>
    <w:rsid w:val="00595703"/>
    <w:rsid w:val="005A13B9"/>
    <w:rsid w:val="005A27AD"/>
    <w:rsid w:val="005C3E83"/>
    <w:rsid w:val="005C6C7F"/>
    <w:rsid w:val="005D104F"/>
    <w:rsid w:val="005D32DE"/>
    <w:rsid w:val="005E1743"/>
    <w:rsid w:val="005E54E2"/>
    <w:rsid w:val="005E56EA"/>
    <w:rsid w:val="005E79BC"/>
    <w:rsid w:val="005F0299"/>
    <w:rsid w:val="005F0D24"/>
    <w:rsid w:val="005F4B16"/>
    <w:rsid w:val="00603E66"/>
    <w:rsid w:val="00606E16"/>
    <w:rsid w:val="00613687"/>
    <w:rsid w:val="00616B02"/>
    <w:rsid w:val="00616D55"/>
    <w:rsid w:val="00617255"/>
    <w:rsid w:val="00621C04"/>
    <w:rsid w:val="006333E8"/>
    <w:rsid w:val="00636D54"/>
    <w:rsid w:val="00641F79"/>
    <w:rsid w:val="006420D3"/>
    <w:rsid w:val="00647449"/>
    <w:rsid w:val="00651DFB"/>
    <w:rsid w:val="006637AC"/>
    <w:rsid w:val="00666EF0"/>
    <w:rsid w:val="00666F35"/>
    <w:rsid w:val="00674848"/>
    <w:rsid w:val="00674926"/>
    <w:rsid w:val="00680481"/>
    <w:rsid w:val="00683AFD"/>
    <w:rsid w:val="00693C04"/>
    <w:rsid w:val="006A0AA0"/>
    <w:rsid w:val="006A221F"/>
    <w:rsid w:val="006A3AA0"/>
    <w:rsid w:val="006A4A34"/>
    <w:rsid w:val="006B0051"/>
    <w:rsid w:val="006B0B2A"/>
    <w:rsid w:val="006B1C0A"/>
    <w:rsid w:val="006B26BE"/>
    <w:rsid w:val="006B33D6"/>
    <w:rsid w:val="006B3C25"/>
    <w:rsid w:val="006B52BF"/>
    <w:rsid w:val="006B77E2"/>
    <w:rsid w:val="006C7080"/>
    <w:rsid w:val="006D1AAC"/>
    <w:rsid w:val="006E1CBA"/>
    <w:rsid w:val="006E614A"/>
    <w:rsid w:val="006F1F22"/>
    <w:rsid w:val="006F5092"/>
    <w:rsid w:val="006F554B"/>
    <w:rsid w:val="007003C6"/>
    <w:rsid w:val="00700B52"/>
    <w:rsid w:val="00710267"/>
    <w:rsid w:val="00710705"/>
    <w:rsid w:val="00710A8B"/>
    <w:rsid w:val="00711063"/>
    <w:rsid w:val="007117CC"/>
    <w:rsid w:val="00713B21"/>
    <w:rsid w:val="00714875"/>
    <w:rsid w:val="007168DC"/>
    <w:rsid w:val="00716DB1"/>
    <w:rsid w:val="00722057"/>
    <w:rsid w:val="00727B1B"/>
    <w:rsid w:val="00730CBE"/>
    <w:rsid w:val="007311FC"/>
    <w:rsid w:val="00731BAE"/>
    <w:rsid w:val="00731D6D"/>
    <w:rsid w:val="00733650"/>
    <w:rsid w:val="00733B99"/>
    <w:rsid w:val="00733F27"/>
    <w:rsid w:val="00734C8A"/>
    <w:rsid w:val="00734DCB"/>
    <w:rsid w:val="00736762"/>
    <w:rsid w:val="00737451"/>
    <w:rsid w:val="007403E0"/>
    <w:rsid w:val="007427B0"/>
    <w:rsid w:val="00743AC5"/>
    <w:rsid w:val="00745611"/>
    <w:rsid w:val="0074586A"/>
    <w:rsid w:val="007460B8"/>
    <w:rsid w:val="00750D0E"/>
    <w:rsid w:val="007604E4"/>
    <w:rsid w:val="00765530"/>
    <w:rsid w:val="00774AC1"/>
    <w:rsid w:val="00774FC1"/>
    <w:rsid w:val="00776150"/>
    <w:rsid w:val="00781060"/>
    <w:rsid w:val="0078172D"/>
    <w:rsid w:val="00782DD6"/>
    <w:rsid w:val="00783DC7"/>
    <w:rsid w:val="00785C10"/>
    <w:rsid w:val="007869FE"/>
    <w:rsid w:val="00791F1B"/>
    <w:rsid w:val="00791F8B"/>
    <w:rsid w:val="0079545C"/>
    <w:rsid w:val="00797B20"/>
    <w:rsid w:val="007A2FC0"/>
    <w:rsid w:val="007A37D5"/>
    <w:rsid w:val="007B0BBB"/>
    <w:rsid w:val="007B7074"/>
    <w:rsid w:val="007C1DA0"/>
    <w:rsid w:val="007C3783"/>
    <w:rsid w:val="007C3C7C"/>
    <w:rsid w:val="007D49C3"/>
    <w:rsid w:val="007E0EB6"/>
    <w:rsid w:val="007E1A8E"/>
    <w:rsid w:val="007E21B9"/>
    <w:rsid w:val="007E3D76"/>
    <w:rsid w:val="007E4835"/>
    <w:rsid w:val="007F045B"/>
    <w:rsid w:val="007F08C0"/>
    <w:rsid w:val="007F1751"/>
    <w:rsid w:val="007F4AEA"/>
    <w:rsid w:val="007F6530"/>
    <w:rsid w:val="00802E97"/>
    <w:rsid w:val="008032F9"/>
    <w:rsid w:val="008045C6"/>
    <w:rsid w:val="00810CC4"/>
    <w:rsid w:val="008115AA"/>
    <w:rsid w:val="008119D0"/>
    <w:rsid w:val="00812240"/>
    <w:rsid w:val="00813074"/>
    <w:rsid w:val="0082147D"/>
    <w:rsid w:val="0084389F"/>
    <w:rsid w:val="008456FD"/>
    <w:rsid w:val="00846087"/>
    <w:rsid w:val="00846EBD"/>
    <w:rsid w:val="00850973"/>
    <w:rsid w:val="00853B1C"/>
    <w:rsid w:val="00857842"/>
    <w:rsid w:val="00861B68"/>
    <w:rsid w:val="008652C7"/>
    <w:rsid w:val="00871881"/>
    <w:rsid w:val="00872F6A"/>
    <w:rsid w:val="0087348A"/>
    <w:rsid w:val="00873D1C"/>
    <w:rsid w:val="008745AA"/>
    <w:rsid w:val="00881BE9"/>
    <w:rsid w:val="00884857"/>
    <w:rsid w:val="008858BF"/>
    <w:rsid w:val="008868F4"/>
    <w:rsid w:val="00892FB8"/>
    <w:rsid w:val="00893193"/>
    <w:rsid w:val="00895F4A"/>
    <w:rsid w:val="008A5CA2"/>
    <w:rsid w:val="008B2C3F"/>
    <w:rsid w:val="008C0E21"/>
    <w:rsid w:val="008C42C0"/>
    <w:rsid w:val="008C765B"/>
    <w:rsid w:val="008D10D0"/>
    <w:rsid w:val="008E1EFE"/>
    <w:rsid w:val="008E3163"/>
    <w:rsid w:val="008E615E"/>
    <w:rsid w:val="008E6568"/>
    <w:rsid w:val="008E786E"/>
    <w:rsid w:val="008F18BD"/>
    <w:rsid w:val="008F23E7"/>
    <w:rsid w:val="008F6D3E"/>
    <w:rsid w:val="008F7BDD"/>
    <w:rsid w:val="009026E6"/>
    <w:rsid w:val="00904FE4"/>
    <w:rsid w:val="009075F2"/>
    <w:rsid w:val="00914A42"/>
    <w:rsid w:val="009166B0"/>
    <w:rsid w:val="009207C1"/>
    <w:rsid w:val="00925912"/>
    <w:rsid w:val="009309E2"/>
    <w:rsid w:val="0093331A"/>
    <w:rsid w:val="009335EA"/>
    <w:rsid w:val="0093742B"/>
    <w:rsid w:val="00940D69"/>
    <w:rsid w:val="00942195"/>
    <w:rsid w:val="0094325C"/>
    <w:rsid w:val="00947299"/>
    <w:rsid w:val="00964BDF"/>
    <w:rsid w:val="00964D09"/>
    <w:rsid w:val="009668F9"/>
    <w:rsid w:val="009745DD"/>
    <w:rsid w:val="00974AEE"/>
    <w:rsid w:val="00976D1D"/>
    <w:rsid w:val="00982D68"/>
    <w:rsid w:val="0099186F"/>
    <w:rsid w:val="00992134"/>
    <w:rsid w:val="009A090C"/>
    <w:rsid w:val="009A184B"/>
    <w:rsid w:val="009B1020"/>
    <w:rsid w:val="009B1E68"/>
    <w:rsid w:val="009B6A7D"/>
    <w:rsid w:val="009C6B79"/>
    <w:rsid w:val="009C7F21"/>
    <w:rsid w:val="009D3A4E"/>
    <w:rsid w:val="009D3F6A"/>
    <w:rsid w:val="009D5C72"/>
    <w:rsid w:val="009E14C7"/>
    <w:rsid w:val="009E382D"/>
    <w:rsid w:val="009F04CC"/>
    <w:rsid w:val="009F29B9"/>
    <w:rsid w:val="009F64E7"/>
    <w:rsid w:val="00A0283A"/>
    <w:rsid w:val="00A039FB"/>
    <w:rsid w:val="00A0665F"/>
    <w:rsid w:val="00A11324"/>
    <w:rsid w:val="00A1524E"/>
    <w:rsid w:val="00A257B6"/>
    <w:rsid w:val="00A32216"/>
    <w:rsid w:val="00A34C94"/>
    <w:rsid w:val="00A35B09"/>
    <w:rsid w:val="00A35FAB"/>
    <w:rsid w:val="00A56E10"/>
    <w:rsid w:val="00A56FC9"/>
    <w:rsid w:val="00A573AB"/>
    <w:rsid w:val="00A604F7"/>
    <w:rsid w:val="00A6523C"/>
    <w:rsid w:val="00A71A9E"/>
    <w:rsid w:val="00A74169"/>
    <w:rsid w:val="00A75FB1"/>
    <w:rsid w:val="00A77D94"/>
    <w:rsid w:val="00A84DD8"/>
    <w:rsid w:val="00A84FB6"/>
    <w:rsid w:val="00A86F37"/>
    <w:rsid w:val="00A86FF5"/>
    <w:rsid w:val="00A90627"/>
    <w:rsid w:val="00A93126"/>
    <w:rsid w:val="00AA197C"/>
    <w:rsid w:val="00AA38F2"/>
    <w:rsid w:val="00AA7308"/>
    <w:rsid w:val="00AB05B9"/>
    <w:rsid w:val="00AB3CE5"/>
    <w:rsid w:val="00AB3D5E"/>
    <w:rsid w:val="00AB4B0B"/>
    <w:rsid w:val="00AC2023"/>
    <w:rsid w:val="00AD06AC"/>
    <w:rsid w:val="00AD42C9"/>
    <w:rsid w:val="00AD7B94"/>
    <w:rsid w:val="00AE0E5F"/>
    <w:rsid w:val="00AE1867"/>
    <w:rsid w:val="00AE33BC"/>
    <w:rsid w:val="00AE61B4"/>
    <w:rsid w:val="00AE6511"/>
    <w:rsid w:val="00AF1B5A"/>
    <w:rsid w:val="00AF24E4"/>
    <w:rsid w:val="00AF45F7"/>
    <w:rsid w:val="00AF70ED"/>
    <w:rsid w:val="00B006B3"/>
    <w:rsid w:val="00B00BB9"/>
    <w:rsid w:val="00B011AA"/>
    <w:rsid w:val="00B0252C"/>
    <w:rsid w:val="00B032D2"/>
    <w:rsid w:val="00B077B7"/>
    <w:rsid w:val="00B12A23"/>
    <w:rsid w:val="00B16CB4"/>
    <w:rsid w:val="00B221AF"/>
    <w:rsid w:val="00B247A3"/>
    <w:rsid w:val="00B3146D"/>
    <w:rsid w:val="00B322DA"/>
    <w:rsid w:val="00B33801"/>
    <w:rsid w:val="00B34405"/>
    <w:rsid w:val="00B34630"/>
    <w:rsid w:val="00B35509"/>
    <w:rsid w:val="00B41423"/>
    <w:rsid w:val="00B41754"/>
    <w:rsid w:val="00B544BD"/>
    <w:rsid w:val="00B56092"/>
    <w:rsid w:val="00B617A3"/>
    <w:rsid w:val="00B6629B"/>
    <w:rsid w:val="00B70B69"/>
    <w:rsid w:val="00B74874"/>
    <w:rsid w:val="00B74C44"/>
    <w:rsid w:val="00B77C8E"/>
    <w:rsid w:val="00B80981"/>
    <w:rsid w:val="00B81B9D"/>
    <w:rsid w:val="00B83356"/>
    <w:rsid w:val="00B83ECB"/>
    <w:rsid w:val="00B84C05"/>
    <w:rsid w:val="00B930DC"/>
    <w:rsid w:val="00BA75A1"/>
    <w:rsid w:val="00BA7F4D"/>
    <w:rsid w:val="00BB648E"/>
    <w:rsid w:val="00BC0192"/>
    <w:rsid w:val="00BC2E6A"/>
    <w:rsid w:val="00BC4138"/>
    <w:rsid w:val="00BC4E86"/>
    <w:rsid w:val="00BC530D"/>
    <w:rsid w:val="00BC64FB"/>
    <w:rsid w:val="00BC7D01"/>
    <w:rsid w:val="00BD3F67"/>
    <w:rsid w:val="00BD5BBB"/>
    <w:rsid w:val="00BE0522"/>
    <w:rsid w:val="00BE60D3"/>
    <w:rsid w:val="00BE72D3"/>
    <w:rsid w:val="00BF0EF4"/>
    <w:rsid w:val="00BF194A"/>
    <w:rsid w:val="00BF4261"/>
    <w:rsid w:val="00BF4D42"/>
    <w:rsid w:val="00BF50C9"/>
    <w:rsid w:val="00BF512A"/>
    <w:rsid w:val="00C12AD0"/>
    <w:rsid w:val="00C2212B"/>
    <w:rsid w:val="00C221E2"/>
    <w:rsid w:val="00C3011B"/>
    <w:rsid w:val="00C3066D"/>
    <w:rsid w:val="00C30A6E"/>
    <w:rsid w:val="00C32186"/>
    <w:rsid w:val="00C36622"/>
    <w:rsid w:val="00C407AA"/>
    <w:rsid w:val="00C41048"/>
    <w:rsid w:val="00C434D5"/>
    <w:rsid w:val="00C54719"/>
    <w:rsid w:val="00C55E62"/>
    <w:rsid w:val="00C636C8"/>
    <w:rsid w:val="00C64F42"/>
    <w:rsid w:val="00C66EC7"/>
    <w:rsid w:val="00C67F07"/>
    <w:rsid w:val="00C714AE"/>
    <w:rsid w:val="00C717B8"/>
    <w:rsid w:val="00C73DA5"/>
    <w:rsid w:val="00C816FF"/>
    <w:rsid w:val="00C81BFC"/>
    <w:rsid w:val="00C81E43"/>
    <w:rsid w:val="00C9059E"/>
    <w:rsid w:val="00C93F90"/>
    <w:rsid w:val="00C97929"/>
    <w:rsid w:val="00C97AFC"/>
    <w:rsid w:val="00CA065C"/>
    <w:rsid w:val="00CA1703"/>
    <w:rsid w:val="00CA1FFB"/>
    <w:rsid w:val="00CA3962"/>
    <w:rsid w:val="00CA434E"/>
    <w:rsid w:val="00CA52BB"/>
    <w:rsid w:val="00CA55F3"/>
    <w:rsid w:val="00CB1E84"/>
    <w:rsid w:val="00CB30A2"/>
    <w:rsid w:val="00CB311F"/>
    <w:rsid w:val="00CB4179"/>
    <w:rsid w:val="00CC461A"/>
    <w:rsid w:val="00CC65D7"/>
    <w:rsid w:val="00CD134E"/>
    <w:rsid w:val="00CD150A"/>
    <w:rsid w:val="00CD1E17"/>
    <w:rsid w:val="00CD2D8E"/>
    <w:rsid w:val="00CD5DE4"/>
    <w:rsid w:val="00CE090E"/>
    <w:rsid w:val="00CE16D6"/>
    <w:rsid w:val="00CE1786"/>
    <w:rsid w:val="00CE5710"/>
    <w:rsid w:val="00CE6848"/>
    <w:rsid w:val="00CE7D36"/>
    <w:rsid w:val="00CF271E"/>
    <w:rsid w:val="00CF4DD9"/>
    <w:rsid w:val="00CF5134"/>
    <w:rsid w:val="00D00F91"/>
    <w:rsid w:val="00D13028"/>
    <w:rsid w:val="00D1379B"/>
    <w:rsid w:val="00D14F06"/>
    <w:rsid w:val="00D1665B"/>
    <w:rsid w:val="00D20A39"/>
    <w:rsid w:val="00D3499B"/>
    <w:rsid w:val="00D402AF"/>
    <w:rsid w:val="00D4236A"/>
    <w:rsid w:val="00D43671"/>
    <w:rsid w:val="00D5112C"/>
    <w:rsid w:val="00D52336"/>
    <w:rsid w:val="00D555EC"/>
    <w:rsid w:val="00D636C2"/>
    <w:rsid w:val="00D701D1"/>
    <w:rsid w:val="00D70A24"/>
    <w:rsid w:val="00D77C4D"/>
    <w:rsid w:val="00D80CEE"/>
    <w:rsid w:val="00D8572E"/>
    <w:rsid w:val="00D85CC2"/>
    <w:rsid w:val="00D91FAB"/>
    <w:rsid w:val="00DA02C7"/>
    <w:rsid w:val="00DA3588"/>
    <w:rsid w:val="00DA5A88"/>
    <w:rsid w:val="00DA78CC"/>
    <w:rsid w:val="00DB0629"/>
    <w:rsid w:val="00DB17C0"/>
    <w:rsid w:val="00DB1F21"/>
    <w:rsid w:val="00DB29AC"/>
    <w:rsid w:val="00DB6B14"/>
    <w:rsid w:val="00DB7795"/>
    <w:rsid w:val="00DB7C42"/>
    <w:rsid w:val="00DC4A16"/>
    <w:rsid w:val="00DD04E4"/>
    <w:rsid w:val="00DD6013"/>
    <w:rsid w:val="00DD7D56"/>
    <w:rsid w:val="00DE310B"/>
    <w:rsid w:val="00DE5EC9"/>
    <w:rsid w:val="00DF386E"/>
    <w:rsid w:val="00DF4A5F"/>
    <w:rsid w:val="00DF50C2"/>
    <w:rsid w:val="00DF6389"/>
    <w:rsid w:val="00DF6472"/>
    <w:rsid w:val="00E00F0C"/>
    <w:rsid w:val="00E045CE"/>
    <w:rsid w:val="00E05E3B"/>
    <w:rsid w:val="00E11CFA"/>
    <w:rsid w:val="00E26A0C"/>
    <w:rsid w:val="00E27208"/>
    <w:rsid w:val="00E35D11"/>
    <w:rsid w:val="00E41D28"/>
    <w:rsid w:val="00E42FFB"/>
    <w:rsid w:val="00E44C43"/>
    <w:rsid w:val="00E45BF7"/>
    <w:rsid w:val="00E479CB"/>
    <w:rsid w:val="00E47B74"/>
    <w:rsid w:val="00E50FE9"/>
    <w:rsid w:val="00E53B34"/>
    <w:rsid w:val="00E55B42"/>
    <w:rsid w:val="00E56058"/>
    <w:rsid w:val="00E60373"/>
    <w:rsid w:val="00E61262"/>
    <w:rsid w:val="00E64E58"/>
    <w:rsid w:val="00E67275"/>
    <w:rsid w:val="00E67AA4"/>
    <w:rsid w:val="00E74377"/>
    <w:rsid w:val="00E80123"/>
    <w:rsid w:val="00E82346"/>
    <w:rsid w:val="00E84A55"/>
    <w:rsid w:val="00E84C42"/>
    <w:rsid w:val="00E94846"/>
    <w:rsid w:val="00EA5567"/>
    <w:rsid w:val="00EA6906"/>
    <w:rsid w:val="00EA75F1"/>
    <w:rsid w:val="00EB7FD4"/>
    <w:rsid w:val="00EC3605"/>
    <w:rsid w:val="00EC458C"/>
    <w:rsid w:val="00ED0B42"/>
    <w:rsid w:val="00ED0C93"/>
    <w:rsid w:val="00ED1EFD"/>
    <w:rsid w:val="00ED4B2E"/>
    <w:rsid w:val="00ED5C30"/>
    <w:rsid w:val="00EE571F"/>
    <w:rsid w:val="00EF0E90"/>
    <w:rsid w:val="00EF1A42"/>
    <w:rsid w:val="00EF3455"/>
    <w:rsid w:val="00EF5F9E"/>
    <w:rsid w:val="00EF6B74"/>
    <w:rsid w:val="00F00B52"/>
    <w:rsid w:val="00F053A1"/>
    <w:rsid w:val="00F13192"/>
    <w:rsid w:val="00F23901"/>
    <w:rsid w:val="00F24271"/>
    <w:rsid w:val="00F307B7"/>
    <w:rsid w:val="00F30A16"/>
    <w:rsid w:val="00F34B68"/>
    <w:rsid w:val="00F3594B"/>
    <w:rsid w:val="00F42749"/>
    <w:rsid w:val="00F477FE"/>
    <w:rsid w:val="00F533C1"/>
    <w:rsid w:val="00F53483"/>
    <w:rsid w:val="00F57D76"/>
    <w:rsid w:val="00F649F7"/>
    <w:rsid w:val="00F65B15"/>
    <w:rsid w:val="00F704F5"/>
    <w:rsid w:val="00F70B23"/>
    <w:rsid w:val="00F72ACE"/>
    <w:rsid w:val="00F80398"/>
    <w:rsid w:val="00F82F2D"/>
    <w:rsid w:val="00F842C3"/>
    <w:rsid w:val="00F86447"/>
    <w:rsid w:val="00F90F10"/>
    <w:rsid w:val="00FA4EC1"/>
    <w:rsid w:val="00FA5DA0"/>
    <w:rsid w:val="00FC160D"/>
    <w:rsid w:val="00FC602D"/>
    <w:rsid w:val="00FD3FF5"/>
    <w:rsid w:val="00FE075F"/>
    <w:rsid w:val="00FE0A00"/>
    <w:rsid w:val="00FE2DF2"/>
    <w:rsid w:val="00FF449D"/>
    <w:rsid w:val="00FF4F43"/>
    <w:rsid w:val="017F5A2A"/>
    <w:rsid w:val="034B2EF2"/>
    <w:rsid w:val="036F375E"/>
    <w:rsid w:val="03F434D0"/>
    <w:rsid w:val="05072407"/>
    <w:rsid w:val="05647EB0"/>
    <w:rsid w:val="05D10089"/>
    <w:rsid w:val="06DC2725"/>
    <w:rsid w:val="089958C5"/>
    <w:rsid w:val="09883D78"/>
    <w:rsid w:val="0A2B714D"/>
    <w:rsid w:val="0BF87DFF"/>
    <w:rsid w:val="0C6F1D53"/>
    <w:rsid w:val="0CD16B31"/>
    <w:rsid w:val="0EEE67B4"/>
    <w:rsid w:val="0F390402"/>
    <w:rsid w:val="1221303B"/>
    <w:rsid w:val="13A12AD0"/>
    <w:rsid w:val="144135E5"/>
    <w:rsid w:val="14A50248"/>
    <w:rsid w:val="160A13C4"/>
    <w:rsid w:val="178556E0"/>
    <w:rsid w:val="18CF39CE"/>
    <w:rsid w:val="190C5715"/>
    <w:rsid w:val="1C717D76"/>
    <w:rsid w:val="1F086B69"/>
    <w:rsid w:val="1F1C1EA6"/>
    <w:rsid w:val="1F336055"/>
    <w:rsid w:val="207C6798"/>
    <w:rsid w:val="21F32BA9"/>
    <w:rsid w:val="223E68E9"/>
    <w:rsid w:val="22880ADD"/>
    <w:rsid w:val="234A4E2A"/>
    <w:rsid w:val="24FD5302"/>
    <w:rsid w:val="26B71C6D"/>
    <w:rsid w:val="28DF7FA5"/>
    <w:rsid w:val="2B693C62"/>
    <w:rsid w:val="2BAE6C9D"/>
    <w:rsid w:val="2D3F712B"/>
    <w:rsid w:val="3124487E"/>
    <w:rsid w:val="327634DC"/>
    <w:rsid w:val="32EE3703"/>
    <w:rsid w:val="347D59A2"/>
    <w:rsid w:val="34BE212E"/>
    <w:rsid w:val="357B4B63"/>
    <w:rsid w:val="376F01F6"/>
    <w:rsid w:val="39DD02E0"/>
    <w:rsid w:val="3D5C0A2E"/>
    <w:rsid w:val="3DE26FE2"/>
    <w:rsid w:val="40BC43D1"/>
    <w:rsid w:val="40D65571"/>
    <w:rsid w:val="44D02722"/>
    <w:rsid w:val="451B2F6D"/>
    <w:rsid w:val="4862664E"/>
    <w:rsid w:val="48D338B4"/>
    <w:rsid w:val="490D148D"/>
    <w:rsid w:val="491F78C8"/>
    <w:rsid w:val="497E1C1A"/>
    <w:rsid w:val="49910839"/>
    <w:rsid w:val="4ADE679E"/>
    <w:rsid w:val="4B6D506A"/>
    <w:rsid w:val="4E9977B8"/>
    <w:rsid w:val="4EC1111A"/>
    <w:rsid w:val="50476F51"/>
    <w:rsid w:val="506A2C9B"/>
    <w:rsid w:val="51036296"/>
    <w:rsid w:val="527669FE"/>
    <w:rsid w:val="52BA0F7B"/>
    <w:rsid w:val="53FD6BC1"/>
    <w:rsid w:val="540A1E49"/>
    <w:rsid w:val="560F4F3F"/>
    <w:rsid w:val="57284198"/>
    <w:rsid w:val="5B280C0A"/>
    <w:rsid w:val="5D2C7C46"/>
    <w:rsid w:val="5D4E4AD5"/>
    <w:rsid w:val="5E082F75"/>
    <w:rsid w:val="60DB7CBD"/>
    <w:rsid w:val="614C01C7"/>
    <w:rsid w:val="61E90A4D"/>
    <w:rsid w:val="62942D96"/>
    <w:rsid w:val="62F90B68"/>
    <w:rsid w:val="644B23BB"/>
    <w:rsid w:val="65A17610"/>
    <w:rsid w:val="65A41251"/>
    <w:rsid w:val="65FF1302"/>
    <w:rsid w:val="67111755"/>
    <w:rsid w:val="676E2C39"/>
    <w:rsid w:val="679305CB"/>
    <w:rsid w:val="68121F95"/>
    <w:rsid w:val="68D71E95"/>
    <w:rsid w:val="68DE4FFE"/>
    <w:rsid w:val="696C43B8"/>
    <w:rsid w:val="69E67CF4"/>
    <w:rsid w:val="6A4B7FEE"/>
    <w:rsid w:val="6CFB4ED7"/>
    <w:rsid w:val="6E0755B5"/>
    <w:rsid w:val="6E594A83"/>
    <w:rsid w:val="6F5B1156"/>
    <w:rsid w:val="708154BF"/>
    <w:rsid w:val="73CE3A7C"/>
    <w:rsid w:val="74717D2F"/>
    <w:rsid w:val="75845822"/>
    <w:rsid w:val="78204C83"/>
    <w:rsid w:val="78710297"/>
    <w:rsid w:val="79C104AD"/>
    <w:rsid w:val="7C7E5C57"/>
    <w:rsid w:val="7E707DA2"/>
    <w:rsid w:val="7F8156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Times New Roman" w:hAnsi="Times New Roman" w:eastAsia="仿宋_GB2312" w:cs="Times New Roman"/>
      <w:kern w:val="2"/>
      <w:sz w:val="24"/>
      <w:szCs w:val="24"/>
      <w:lang w:val="en-US" w:eastAsia="zh-CN" w:bidi="ar-SA"/>
    </w:rPr>
  </w:style>
  <w:style w:type="paragraph" w:styleId="2">
    <w:name w:val="heading 1"/>
    <w:basedOn w:val="1"/>
    <w:next w:val="1"/>
    <w:link w:val="4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63"/>
    <w:autoRedefine/>
    <w:semiHidden/>
    <w:unhideWhenUsed/>
    <w:qFormat/>
    <w:uiPriority w:val="0"/>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link w:val="64"/>
    <w:autoRedefine/>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7"/>
    <w:autoRedefine/>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94"/>
    <w:autoRedefine/>
    <w:qFormat/>
    <w:uiPriority w:val="0"/>
    <w:pPr>
      <w:keepNext/>
      <w:keepLines/>
      <w:spacing w:before="280" w:after="290" w:line="376" w:lineRule="auto"/>
      <w:outlineLvl w:val="4"/>
    </w:pPr>
    <w:rPr>
      <w:rFonts w:eastAsia="宋体"/>
      <w:b/>
      <w:bCs/>
      <w:sz w:val="28"/>
      <w:szCs w:val="28"/>
      <w:lang w:val="zh-CN"/>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next w:val="8"/>
    <w:link w:val="42"/>
    <w:autoRedefine/>
    <w:qFormat/>
    <w:uiPriority w:val="0"/>
    <w:pPr>
      <w:ind w:firstLine="420" w:firstLineChars="200"/>
    </w:pPr>
    <w:rPr>
      <w:rFonts w:eastAsia="宋体"/>
      <w:sz w:val="28"/>
      <w:szCs w:val="20"/>
    </w:rPr>
  </w:style>
  <w:style w:type="paragraph" w:styleId="8">
    <w:name w:val="Body Text First Indent 2"/>
    <w:basedOn w:val="5"/>
    <w:next w:val="1"/>
    <w:link w:val="72"/>
    <w:autoRedefine/>
    <w:qFormat/>
    <w:uiPriority w:val="0"/>
    <w:pPr>
      <w:ind w:left="200" w:leftChars="200" w:firstLine="420" w:firstLineChars="200"/>
    </w:pPr>
  </w:style>
  <w:style w:type="paragraph" w:styleId="9">
    <w:name w:val="caption"/>
    <w:basedOn w:val="1"/>
    <w:next w:val="10"/>
    <w:autoRedefine/>
    <w:qFormat/>
    <w:uiPriority w:val="0"/>
    <w:pPr>
      <w:ind w:firstLine="200" w:firstLineChars="200"/>
    </w:pPr>
    <w:rPr>
      <w:rFonts w:ascii="Cambria" w:hAnsi="Cambria" w:eastAsia="华文宋体"/>
      <w:szCs w:val="20"/>
    </w:rPr>
  </w:style>
  <w:style w:type="paragraph" w:customStyle="1" w:styleId="10">
    <w:name w:val="正文首行缩进 2 + Times New Roman"/>
    <w:basedOn w:val="1"/>
    <w:link w:val="173"/>
    <w:autoRedefine/>
    <w:qFormat/>
    <w:uiPriority w:val="0"/>
    <w:pPr>
      <w:tabs>
        <w:tab w:val="left" w:pos="0"/>
        <w:tab w:val="left" w:pos="3150"/>
      </w:tabs>
      <w:autoSpaceDE w:val="0"/>
      <w:autoSpaceDN w:val="0"/>
      <w:spacing w:line="324" w:lineRule="auto"/>
      <w:ind w:right="113" w:firstLine="420"/>
    </w:pPr>
    <w:rPr>
      <w:rFonts w:asciiTheme="minorHAnsi" w:hAnsiTheme="minorHAnsi" w:eastAsiaTheme="minorEastAsia" w:cstheme="minorBidi"/>
    </w:rPr>
  </w:style>
  <w:style w:type="paragraph" w:styleId="11">
    <w:name w:val="Document Map"/>
    <w:basedOn w:val="1"/>
    <w:link w:val="66"/>
    <w:autoRedefine/>
    <w:qFormat/>
    <w:uiPriority w:val="0"/>
    <w:pPr>
      <w:shd w:val="clear" w:color="auto" w:fill="000080"/>
      <w:spacing w:line="240" w:lineRule="auto"/>
    </w:pPr>
    <w:rPr>
      <w:rFonts w:eastAsia="宋体"/>
      <w:sz w:val="21"/>
    </w:rPr>
  </w:style>
  <w:style w:type="paragraph" w:styleId="12">
    <w:name w:val="annotation text"/>
    <w:basedOn w:val="1"/>
    <w:link w:val="59"/>
    <w:autoRedefine/>
    <w:qFormat/>
    <w:uiPriority w:val="99"/>
    <w:pPr>
      <w:jc w:val="left"/>
    </w:pPr>
  </w:style>
  <w:style w:type="paragraph" w:styleId="13">
    <w:name w:val="Body Text"/>
    <w:basedOn w:val="1"/>
    <w:link w:val="45"/>
    <w:autoRedefine/>
    <w:unhideWhenUsed/>
    <w:qFormat/>
    <w:uiPriority w:val="1"/>
    <w:pPr>
      <w:spacing w:after="120"/>
    </w:pPr>
  </w:style>
  <w:style w:type="paragraph" w:styleId="14">
    <w:name w:val="Body Text Indent"/>
    <w:basedOn w:val="1"/>
    <w:link w:val="67"/>
    <w:autoRedefine/>
    <w:qFormat/>
    <w:uiPriority w:val="0"/>
    <w:pPr>
      <w:spacing w:after="120"/>
      <w:ind w:left="420"/>
    </w:pPr>
  </w:style>
  <w:style w:type="paragraph" w:styleId="15">
    <w:name w:val="toc 3"/>
    <w:basedOn w:val="1"/>
    <w:next w:val="1"/>
    <w:autoRedefine/>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16">
    <w:name w:val="Plain Text"/>
    <w:basedOn w:val="1"/>
    <w:link w:val="43"/>
    <w:autoRedefine/>
    <w:unhideWhenUsed/>
    <w:qFormat/>
    <w:uiPriority w:val="99"/>
    <w:rPr>
      <w:rFonts w:hAnsi="Courier New" w:cs="Courier New" w:asciiTheme="minorEastAsia" w:eastAsiaTheme="minorEastAsia"/>
    </w:rPr>
  </w:style>
  <w:style w:type="paragraph" w:styleId="17">
    <w:name w:val="Date"/>
    <w:basedOn w:val="1"/>
    <w:next w:val="1"/>
    <w:link w:val="108"/>
    <w:autoRedefine/>
    <w:qFormat/>
    <w:uiPriority w:val="0"/>
    <w:pPr>
      <w:spacing w:line="240" w:lineRule="auto"/>
      <w:ind w:left="100" w:leftChars="2500"/>
    </w:pPr>
    <w:rPr>
      <w:rFonts w:eastAsia="宋体"/>
      <w:kern w:val="0"/>
      <w:szCs w:val="20"/>
    </w:rPr>
  </w:style>
  <w:style w:type="paragraph" w:styleId="18">
    <w:name w:val="Body Text Indent 2"/>
    <w:basedOn w:val="1"/>
    <w:link w:val="69"/>
    <w:autoRedefine/>
    <w:qFormat/>
    <w:uiPriority w:val="0"/>
    <w:pPr>
      <w:spacing w:after="120" w:line="480" w:lineRule="auto"/>
      <w:ind w:left="420" w:leftChars="200"/>
    </w:pPr>
    <w:rPr>
      <w:szCs w:val="20"/>
    </w:rPr>
  </w:style>
  <w:style w:type="paragraph" w:styleId="19">
    <w:name w:val="Balloon Text"/>
    <w:basedOn w:val="1"/>
    <w:link w:val="47"/>
    <w:autoRedefine/>
    <w:unhideWhenUsed/>
    <w:qFormat/>
    <w:uiPriority w:val="0"/>
    <w:pPr>
      <w:spacing w:line="240" w:lineRule="auto"/>
    </w:pPr>
    <w:rPr>
      <w:sz w:val="18"/>
      <w:szCs w:val="18"/>
    </w:rPr>
  </w:style>
  <w:style w:type="paragraph" w:styleId="20">
    <w:name w:val="footer"/>
    <w:basedOn w:val="1"/>
    <w:link w:val="52"/>
    <w:autoRedefine/>
    <w:unhideWhenUsed/>
    <w:qFormat/>
    <w:uiPriority w:val="99"/>
    <w:pPr>
      <w:tabs>
        <w:tab w:val="center" w:pos="4153"/>
        <w:tab w:val="right" w:pos="8306"/>
      </w:tabs>
      <w:snapToGrid w:val="0"/>
      <w:spacing w:line="240" w:lineRule="auto"/>
      <w:jc w:val="left"/>
    </w:pPr>
    <w:rPr>
      <w:sz w:val="18"/>
      <w:szCs w:val="18"/>
    </w:rPr>
  </w:style>
  <w:style w:type="paragraph" w:styleId="21">
    <w:name w:val="header"/>
    <w:basedOn w:val="1"/>
    <w:link w:val="51"/>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2">
    <w:name w:val="toc 1"/>
    <w:basedOn w:val="1"/>
    <w:next w:val="1"/>
    <w:autoRedefine/>
    <w:qFormat/>
    <w:uiPriority w:val="39"/>
  </w:style>
  <w:style w:type="paragraph" w:styleId="23">
    <w:name w:val="List"/>
    <w:next w:val="13"/>
    <w:autoRedefine/>
    <w:qFormat/>
    <w:uiPriority w:val="0"/>
    <w:pPr>
      <w:spacing w:line="300" w:lineRule="exact"/>
      <w:jc w:val="both"/>
      <w:outlineLvl w:val="4"/>
    </w:pPr>
    <w:rPr>
      <w:rFonts w:ascii="Times New Roman" w:hAnsi="Times New Roman" w:eastAsia="仿宋_GB2312" w:cs="Times New Roman"/>
      <w:bCs/>
      <w:color w:val="000000"/>
      <w:sz w:val="21"/>
      <w:lang w:val="en-US" w:eastAsia="zh-CN" w:bidi="ar-SA"/>
    </w:rPr>
  </w:style>
  <w:style w:type="paragraph" w:styleId="24">
    <w:name w:val="toc 2"/>
    <w:basedOn w:val="1"/>
    <w:next w:val="1"/>
    <w:autoRedefine/>
    <w:qFormat/>
    <w:uiPriority w:val="39"/>
    <w:pPr>
      <w:ind w:left="420" w:leftChars="200"/>
    </w:pPr>
  </w:style>
  <w:style w:type="paragraph" w:styleId="25">
    <w:name w:val="Normal (Web)"/>
    <w:basedOn w:val="1"/>
    <w:next w:val="26"/>
    <w:link w:val="61"/>
    <w:autoRedefine/>
    <w:qFormat/>
    <w:uiPriority w:val="99"/>
    <w:pPr>
      <w:spacing w:before="100" w:beforeAutospacing="1" w:after="100" w:afterAutospacing="1"/>
      <w:jc w:val="left"/>
    </w:pPr>
    <w:rPr>
      <w:kern w:val="0"/>
    </w:rPr>
  </w:style>
  <w:style w:type="paragraph" w:customStyle="1" w:styleId="26">
    <w:name w:val="报告正文111"/>
    <w:autoRedefine/>
    <w:qFormat/>
    <w:uiPriority w:val="0"/>
    <w:pPr>
      <w:adjustRightInd w:val="0"/>
      <w:snapToGrid w:val="0"/>
      <w:spacing w:before="60" w:line="440" w:lineRule="exact"/>
      <w:ind w:firstLine="480" w:firstLineChars="200"/>
      <w:jc w:val="both"/>
    </w:pPr>
    <w:rPr>
      <w:rFonts w:ascii="Times New Roman" w:hAnsi="Times New Roman" w:eastAsia="宋体" w:cs="Times New Roman"/>
      <w:kern w:val="2"/>
      <w:sz w:val="24"/>
      <w:szCs w:val="24"/>
      <w:lang w:val="en-US" w:eastAsia="zh-CN" w:bidi="ar-SA"/>
    </w:rPr>
  </w:style>
  <w:style w:type="paragraph" w:styleId="27">
    <w:name w:val="index 1"/>
    <w:basedOn w:val="1"/>
    <w:next w:val="1"/>
    <w:autoRedefine/>
    <w:semiHidden/>
    <w:qFormat/>
    <w:uiPriority w:val="0"/>
    <w:pPr>
      <w:spacing w:line="300" w:lineRule="auto"/>
      <w:jc w:val="center"/>
    </w:pPr>
    <w:rPr>
      <w:bCs/>
    </w:rPr>
  </w:style>
  <w:style w:type="paragraph" w:styleId="28">
    <w:name w:val="Title"/>
    <w:basedOn w:val="1"/>
    <w:next w:val="1"/>
    <w:link w:val="70"/>
    <w:autoRedefine/>
    <w:qFormat/>
    <w:uiPriority w:val="0"/>
    <w:pPr>
      <w:spacing w:before="240" w:after="60"/>
      <w:jc w:val="center"/>
      <w:outlineLvl w:val="0"/>
    </w:pPr>
    <w:rPr>
      <w:rFonts w:asciiTheme="majorHAnsi" w:hAnsiTheme="majorHAnsi" w:eastAsiaTheme="majorEastAsia" w:cstheme="majorBidi"/>
      <w:b/>
      <w:bCs/>
      <w:sz w:val="32"/>
      <w:szCs w:val="32"/>
    </w:rPr>
  </w:style>
  <w:style w:type="paragraph" w:styleId="29">
    <w:name w:val="annotation subject"/>
    <w:basedOn w:val="12"/>
    <w:next w:val="12"/>
    <w:link w:val="71"/>
    <w:autoRedefine/>
    <w:qFormat/>
    <w:uiPriority w:val="0"/>
    <w:rPr>
      <w:b/>
      <w:bCs/>
    </w:rPr>
  </w:style>
  <w:style w:type="paragraph" w:styleId="30">
    <w:name w:val="Body Text First Indent"/>
    <w:basedOn w:val="13"/>
    <w:link w:val="46"/>
    <w:autoRedefine/>
    <w:unhideWhenUsed/>
    <w:qFormat/>
    <w:uiPriority w:val="0"/>
    <w:pPr>
      <w:ind w:firstLine="420" w:firstLineChars="100"/>
    </w:pPr>
  </w:style>
  <w:style w:type="table" w:styleId="32">
    <w:name w:val="Table Grid"/>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autoRedefine/>
    <w:qFormat/>
    <w:uiPriority w:val="22"/>
    <w:rPr>
      <w:b/>
      <w:bCs/>
    </w:rPr>
  </w:style>
  <w:style w:type="character" w:styleId="35">
    <w:name w:val="page number"/>
    <w:basedOn w:val="33"/>
    <w:autoRedefine/>
    <w:qFormat/>
    <w:uiPriority w:val="0"/>
  </w:style>
  <w:style w:type="character" w:styleId="36">
    <w:name w:val="FollowedHyperlink"/>
    <w:basedOn w:val="33"/>
    <w:autoRedefine/>
    <w:semiHidden/>
    <w:unhideWhenUsed/>
    <w:qFormat/>
    <w:uiPriority w:val="99"/>
    <w:rPr>
      <w:color w:val="954F72" w:themeColor="followedHyperlink"/>
      <w:u w:val="single"/>
      <w14:textFill>
        <w14:solidFill>
          <w14:schemeClr w14:val="folHlink"/>
        </w14:solidFill>
      </w14:textFill>
    </w:rPr>
  </w:style>
  <w:style w:type="character" w:styleId="37">
    <w:name w:val="Emphasis"/>
    <w:basedOn w:val="33"/>
    <w:autoRedefine/>
    <w:qFormat/>
    <w:uiPriority w:val="20"/>
    <w:rPr>
      <w:i/>
      <w:iCs/>
    </w:rPr>
  </w:style>
  <w:style w:type="character" w:styleId="38">
    <w:name w:val="Hyperlink"/>
    <w:autoRedefine/>
    <w:qFormat/>
    <w:uiPriority w:val="99"/>
    <w:rPr>
      <w:color w:val="0000FF"/>
      <w:u w:val="single"/>
    </w:rPr>
  </w:style>
  <w:style w:type="character" w:styleId="39">
    <w:name w:val="annotation reference"/>
    <w:autoRedefine/>
    <w:qFormat/>
    <w:uiPriority w:val="0"/>
    <w:rPr>
      <w:sz w:val="21"/>
      <w:szCs w:val="21"/>
    </w:rPr>
  </w:style>
  <w:style w:type="paragraph" w:customStyle="1" w:styleId="40">
    <w:name w:val="正文首行缩进2个字 Char"/>
    <w:basedOn w:val="1"/>
    <w:autoRedefine/>
    <w:qFormat/>
    <w:uiPriority w:val="0"/>
    <w:pPr>
      <w:ind w:firstLine="480" w:firstLineChars="200"/>
    </w:pPr>
    <w:rPr>
      <w:rFonts w:eastAsia="楷体"/>
    </w:rPr>
  </w:style>
  <w:style w:type="character" w:customStyle="1" w:styleId="41">
    <w:name w:val="标题 1 字符2"/>
    <w:basedOn w:val="33"/>
    <w:link w:val="2"/>
    <w:autoRedefine/>
    <w:qFormat/>
    <w:uiPriority w:val="0"/>
    <w:rPr>
      <w:rFonts w:ascii="Times New Roman" w:hAnsi="Times New Roman" w:eastAsia="黑体" w:cs="Times New Roman"/>
      <w:b/>
      <w:bCs/>
      <w:color w:val="000000"/>
      <w:kern w:val="44"/>
      <w:sz w:val="30"/>
      <w:szCs w:val="30"/>
    </w:rPr>
  </w:style>
  <w:style w:type="character" w:customStyle="1" w:styleId="42">
    <w:name w:val="正文缩进 字符"/>
    <w:link w:val="7"/>
    <w:autoRedefine/>
    <w:qFormat/>
    <w:uiPriority w:val="0"/>
    <w:rPr>
      <w:rFonts w:ascii="Times New Roman" w:hAnsi="Times New Roman" w:eastAsia="宋体" w:cs="Times New Roman"/>
      <w:sz w:val="28"/>
      <w:szCs w:val="20"/>
    </w:rPr>
  </w:style>
  <w:style w:type="character" w:customStyle="1" w:styleId="43">
    <w:name w:val="纯文本 字符"/>
    <w:basedOn w:val="33"/>
    <w:link w:val="16"/>
    <w:autoRedefine/>
    <w:qFormat/>
    <w:uiPriority w:val="99"/>
    <w:rPr>
      <w:rFonts w:hAnsi="Courier New" w:cs="Courier New" w:asciiTheme="minorEastAsia"/>
      <w:sz w:val="24"/>
      <w:szCs w:val="24"/>
    </w:rPr>
  </w:style>
  <w:style w:type="paragraph" w:customStyle="1" w:styleId="44">
    <w:name w:val="居中正文"/>
    <w:basedOn w:val="30"/>
    <w:autoRedefine/>
    <w:qFormat/>
    <w:uiPriority w:val="0"/>
    <w:pPr>
      <w:adjustRightInd w:val="0"/>
      <w:spacing w:before="120" w:after="0"/>
      <w:ind w:firstLine="0" w:firstLineChars="0"/>
      <w:jc w:val="center"/>
      <w:textAlignment w:val="baseline"/>
    </w:pPr>
    <w:rPr>
      <w:rFonts w:ascii="宋体"/>
      <w:kern w:val="28"/>
      <w:szCs w:val="20"/>
    </w:rPr>
  </w:style>
  <w:style w:type="character" w:customStyle="1" w:styleId="45">
    <w:name w:val="正文文本 字符"/>
    <w:basedOn w:val="33"/>
    <w:link w:val="13"/>
    <w:autoRedefine/>
    <w:qFormat/>
    <w:uiPriority w:val="1"/>
    <w:rPr>
      <w:rFonts w:ascii="Times New Roman" w:hAnsi="Times New Roman" w:eastAsia="仿宋_GB2312" w:cs="Times New Roman"/>
      <w:sz w:val="24"/>
      <w:szCs w:val="24"/>
    </w:rPr>
  </w:style>
  <w:style w:type="character" w:customStyle="1" w:styleId="46">
    <w:name w:val="正文文本首行缩进 字符"/>
    <w:basedOn w:val="45"/>
    <w:link w:val="30"/>
    <w:autoRedefine/>
    <w:qFormat/>
    <w:uiPriority w:val="0"/>
    <w:rPr>
      <w:rFonts w:ascii="Times New Roman" w:hAnsi="Times New Roman" w:eastAsia="仿宋_GB2312" w:cs="Times New Roman"/>
      <w:sz w:val="24"/>
      <w:szCs w:val="24"/>
    </w:rPr>
  </w:style>
  <w:style w:type="character" w:customStyle="1" w:styleId="47">
    <w:name w:val="批注框文本 字符"/>
    <w:basedOn w:val="33"/>
    <w:link w:val="19"/>
    <w:autoRedefine/>
    <w:qFormat/>
    <w:uiPriority w:val="0"/>
    <w:rPr>
      <w:rFonts w:ascii="Times New Roman" w:hAnsi="Times New Roman" w:eastAsia="仿宋_GB2312" w:cs="Times New Roman"/>
      <w:sz w:val="18"/>
      <w:szCs w:val="18"/>
    </w:rPr>
  </w:style>
  <w:style w:type="paragraph" w:customStyle="1" w:styleId="48">
    <w:name w:val="表格正文"/>
    <w:basedOn w:val="1"/>
    <w:link w:val="49"/>
    <w:autoRedefine/>
    <w:qFormat/>
    <w:uiPriority w:val="0"/>
    <w:pPr>
      <w:spacing w:line="360" w:lineRule="exact"/>
      <w:jc w:val="center"/>
    </w:pPr>
    <w:rPr>
      <w:rFonts w:eastAsia="宋体"/>
      <w:sz w:val="21"/>
    </w:rPr>
  </w:style>
  <w:style w:type="character" w:customStyle="1" w:styleId="49">
    <w:name w:val="表格正文 Char"/>
    <w:link w:val="48"/>
    <w:autoRedefine/>
    <w:qFormat/>
    <w:uiPriority w:val="0"/>
    <w:rPr>
      <w:rFonts w:ascii="Times New Roman" w:hAnsi="Times New Roman" w:eastAsia="宋体" w:cs="Times New Roman"/>
      <w:szCs w:val="24"/>
    </w:rPr>
  </w:style>
  <w:style w:type="paragraph" w:styleId="50">
    <w:name w:val="List Paragraph"/>
    <w:basedOn w:val="1"/>
    <w:autoRedefine/>
    <w:qFormat/>
    <w:uiPriority w:val="34"/>
    <w:pPr>
      <w:ind w:firstLine="420" w:firstLineChars="200"/>
    </w:pPr>
  </w:style>
  <w:style w:type="character" w:customStyle="1" w:styleId="51">
    <w:name w:val="页眉 字符"/>
    <w:basedOn w:val="33"/>
    <w:link w:val="21"/>
    <w:autoRedefine/>
    <w:qFormat/>
    <w:uiPriority w:val="99"/>
    <w:rPr>
      <w:rFonts w:ascii="Times New Roman" w:hAnsi="Times New Roman" w:eastAsia="仿宋_GB2312" w:cs="Times New Roman"/>
      <w:sz w:val="18"/>
      <w:szCs w:val="18"/>
    </w:rPr>
  </w:style>
  <w:style w:type="character" w:customStyle="1" w:styleId="52">
    <w:name w:val="页脚 字符"/>
    <w:basedOn w:val="33"/>
    <w:link w:val="20"/>
    <w:autoRedefine/>
    <w:qFormat/>
    <w:uiPriority w:val="99"/>
    <w:rPr>
      <w:rFonts w:ascii="Times New Roman" w:hAnsi="Times New Roman" w:eastAsia="仿宋_GB2312" w:cs="Times New Roman"/>
      <w:sz w:val="18"/>
      <w:szCs w:val="18"/>
    </w:rPr>
  </w:style>
  <w:style w:type="table" w:customStyle="1" w:styleId="53">
    <w:name w:val="Table Normal"/>
    <w:autoRedefine/>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54">
    <w:name w:val="Table Paragraph"/>
    <w:basedOn w:val="1"/>
    <w:autoRedefine/>
    <w:qFormat/>
    <w:uiPriority w:val="1"/>
    <w:pPr>
      <w:autoSpaceDE w:val="0"/>
      <w:autoSpaceDN w:val="0"/>
      <w:spacing w:line="240" w:lineRule="auto"/>
      <w:jc w:val="left"/>
    </w:pPr>
    <w:rPr>
      <w:rFonts w:ascii="宋体" w:hAnsi="宋体" w:eastAsia="宋体" w:cs="宋体"/>
      <w:kern w:val="0"/>
      <w:sz w:val="22"/>
      <w:szCs w:val="22"/>
      <w:lang w:eastAsia="en-US"/>
    </w:rPr>
  </w:style>
  <w:style w:type="paragraph" w:customStyle="1" w:styleId="55">
    <w:name w:val="表格小五"/>
    <w:basedOn w:val="1"/>
    <w:link w:val="56"/>
    <w:autoRedefine/>
    <w:qFormat/>
    <w:uiPriority w:val="0"/>
    <w:pPr>
      <w:widowControl/>
      <w:spacing w:line="240" w:lineRule="auto"/>
      <w:jc w:val="center"/>
    </w:pPr>
    <w:rPr>
      <w:rFonts w:eastAsia="宋体"/>
      <w:kern w:val="0"/>
      <w:sz w:val="18"/>
      <w:szCs w:val="20"/>
    </w:rPr>
  </w:style>
  <w:style w:type="character" w:customStyle="1" w:styleId="56">
    <w:name w:val="表格小五 Char"/>
    <w:link w:val="55"/>
    <w:autoRedefine/>
    <w:qFormat/>
    <w:uiPriority w:val="0"/>
    <w:rPr>
      <w:rFonts w:ascii="Times New Roman" w:hAnsi="Times New Roman" w:eastAsia="宋体" w:cs="Times New Roman"/>
      <w:kern w:val="0"/>
      <w:sz w:val="18"/>
      <w:szCs w:val="20"/>
    </w:rPr>
  </w:style>
  <w:style w:type="character" w:customStyle="1" w:styleId="57">
    <w:name w:val="标题 4 字符"/>
    <w:basedOn w:val="33"/>
    <w:link w:val="5"/>
    <w:autoRedefine/>
    <w:semiHidden/>
    <w:qFormat/>
    <w:uiPriority w:val="0"/>
    <w:rPr>
      <w:rFonts w:asciiTheme="majorHAnsi" w:hAnsiTheme="majorHAnsi" w:eastAsiaTheme="majorEastAsia" w:cstheme="majorBidi"/>
      <w:b/>
      <w:bCs/>
      <w:sz w:val="28"/>
      <w:szCs w:val="28"/>
    </w:rPr>
  </w:style>
  <w:style w:type="character" w:customStyle="1" w:styleId="58">
    <w:name w:val="批注文字 字符"/>
    <w:basedOn w:val="33"/>
    <w:autoRedefine/>
    <w:qFormat/>
    <w:uiPriority w:val="99"/>
    <w:rPr>
      <w:rFonts w:ascii="Times New Roman" w:hAnsi="Times New Roman" w:eastAsia="仿宋_GB2312" w:cs="Times New Roman"/>
      <w:sz w:val="24"/>
      <w:szCs w:val="24"/>
    </w:rPr>
  </w:style>
  <w:style w:type="character" w:customStyle="1" w:styleId="59">
    <w:name w:val="批注文字 字符2"/>
    <w:link w:val="12"/>
    <w:autoRedefine/>
    <w:qFormat/>
    <w:uiPriority w:val="0"/>
    <w:rPr>
      <w:rFonts w:ascii="Times New Roman" w:hAnsi="Times New Roman" w:eastAsia="仿宋_GB2312" w:cs="Times New Roman"/>
      <w:sz w:val="24"/>
      <w:szCs w:val="24"/>
    </w:rPr>
  </w:style>
  <w:style w:type="paragraph" w:customStyle="1" w:styleId="60">
    <w:name w:val="表格名称"/>
    <w:autoRedefine/>
    <w:qFormat/>
    <w:uiPriority w:val="0"/>
    <w:pPr>
      <w:spacing w:line="276" w:lineRule="auto"/>
      <w:jc w:val="center"/>
    </w:pPr>
    <w:rPr>
      <w:rFonts w:ascii="仿宋_GB2312" w:hAnsi="Times New Roman" w:eastAsia="仿宋_GB2312" w:cs="Times New Roman"/>
      <w:b/>
      <w:color w:val="000000"/>
      <w:sz w:val="24"/>
      <w:szCs w:val="21"/>
      <w:lang w:val="en-US" w:eastAsia="zh-CN" w:bidi="ar-SA"/>
    </w:rPr>
  </w:style>
  <w:style w:type="character" w:customStyle="1" w:styleId="61">
    <w:name w:val="普通(网站) 字符2"/>
    <w:link w:val="25"/>
    <w:autoRedefine/>
    <w:qFormat/>
    <w:locked/>
    <w:uiPriority w:val="0"/>
    <w:rPr>
      <w:rFonts w:ascii="Times New Roman" w:hAnsi="Times New Roman" w:eastAsia="仿宋_GB2312" w:cs="Times New Roman"/>
      <w:kern w:val="0"/>
      <w:sz w:val="24"/>
      <w:szCs w:val="24"/>
    </w:rPr>
  </w:style>
  <w:style w:type="paragraph" w:customStyle="1" w:styleId="62">
    <w:name w:val="表3-1"/>
    <w:basedOn w:val="1"/>
    <w:autoRedefine/>
    <w:qFormat/>
    <w:uiPriority w:val="0"/>
    <w:pPr>
      <w:numPr>
        <w:ilvl w:val="0"/>
        <w:numId w:val="1"/>
      </w:numPr>
      <w:spacing w:line="320" w:lineRule="exact"/>
      <w:jc w:val="center"/>
    </w:pPr>
    <w:rPr>
      <w:rFonts w:ascii="Arial" w:hAnsi="Arial" w:eastAsia="宋体" w:cs="Arial"/>
      <w:bCs/>
      <w:szCs w:val="23"/>
    </w:rPr>
  </w:style>
  <w:style w:type="character" w:customStyle="1" w:styleId="63">
    <w:name w:val="标题 2 字符"/>
    <w:basedOn w:val="33"/>
    <w:link w:val="3"/>
    <w:autoRedefine/>
    <w:semiHidden/>
    <w:qFormat/>
    <w:uiPriority w:val="0"/>
    <w:rPr>
      <w:rFonts w:ascii="等线 Light" w:hAnsi="等线 Light" w:eastAsia="等线 Light" w:cs="Times New Roman"/>
      <w:b/>
      <w:bCs/>
      <w:sz w:val="32"/>
      <w:szCs w:val="32"/>
    </w:rPr>
  </w:style>
  <w:style w:type="character" w:customStyle="1" w:styleId="64">
    <w:name w:val="标题 3 字符"/>
    <w:basedOn w:val="33"/>
    <w:link w:val="4"/>
    <w:autoRedefine/>
    <w:semiHidden/>
    <w:qFormat/>
    <w:uiPriority w:val="0"/>
    <w:rPr>
      <w:rFonts w:ascii="Times New Roman" w:hAnsi="Times New Roman" w:eastAsia="仿宋_GB2312" w:cs="Times New Roman"/>
      <w:b/>
      <w:bCs/>
      <w:sz w:val="32"/>
      <w:szCs w:val="32"/>
    </w:rPr>
  </w:style>
  <w:style w:type="character" w:customStyle="1" w:styleId="65">
    <w:name w:val="标题 5 字符"/>
    <w:basedOn w:val="33"/>
    <w:autoRedefine/>
    <w:semiHidden/>
    <w:qFormat/>
    <w:uiPriority w:val="0"/>
    <w:rPr>
      <w:rFonts w:ascii="Times New Roman" w:hAnsi="Times New Roman" w:eastAsia="仿宋_GB2312" w:cs="Times New Roman"/>
      <w:b/>
      <w:bCs/>
      <w:sz w:val="28"/>
      <w:szCs w:val="28"/>
    </w:rPr>
  </w:style>
  <w:style w:type="character" w:customStyle="1" w:styleId="66">
    <w:name w:val="文档结构图 字符"/>
    <w:basedOn w:val="33"/>
    <w:link w:val="11"/>
    <w:autoRedefine/>
    <w:qFormat/>
    <w:uiPriority w:val="0"/>
    <w:rPr>
      <w:rFonts w:ascii="Times New Roman" w:hAnsi="Times New Roman" w:eastAsia="宋体" w:cs="Times New Roman"/>
      <w:szCs w:val="24"/>
      <w:shd w:val="clear" w:color="auto" w:fill="000080"/>
    </w:rPr>
  </w:style>
  <w:style w:type="character" w:customStyle="1" w:styleId="67">
    <w:name w:val="正文文本缩进 字符"/>
    <w:basedOn w:val="33"/>
    <w:link w:val="14"/>
    <w:autoRedefine/>
    <w:qFormat/>
    <w:uiPriority w:val="0"/>
    <w:rPr>
      <w:rFonts w:ascii="Times New Roman" w:hAnsi="Times New Roman" w:eastAsia="仿宋_GB2312" w:cs="Times New Roman"/>
      <w:sz w:val="24"/>
      <w:szCs w:val="24"/>
    </w:rPr>
  </w:style>
  <w:style w:type="character" w:customStyle="1" w:styleId="68">
    <w:name w:val="日期 字符"/>
    <w:basedOn w:val="33"/>
    <w:autoRedefine/>
    <w:semiHidden/>
    <w:qFormat/>
    <w:uiPriority w:val="0"/>
    <w:rPr>
      <w:rFonts w:ascii="Times New Roman" w:hAnsi="Times New Roman" w:eastAsia="仿宋_GB2312" w:cs="Times New Roman"/>
      <w:sz w:val="24"/>
      <w:szCs w:val="24"/>
    </w:rPr>
  </w:style>
  <w:style w:type="character" w:customStyle="1" w:styleId="69">
    <w:name w:val="正文文本缩进 2 字符"/>
    <w:basedOn w:val="33"/>
    <w:link w:val="18"/>
    <w:autoRedefine/>
    <w:qFormat/>
    <w:uiPriority w:val="0"/>
    <w:rPr>
      <w:rFonts w:ascii="Times New Roman" w:hAnsi="Times New Roman" w:eastAsia="仿宋_GB2312" w:cs="Times New Roman"/>
      <w:sz w:val="24"/>
      <w:szCs w:val="20"/>
    </w:rPr>
  </w:style>
  <w:style w:type="character" w:customStyle="1" w:styleId="70">
    <w:name w:val="标题 字符"/>
    <w:basedOn w:val="33"/>
    <w:link w:val="28"/>
    <w:autoRedefine/>
    <w:qFormat/>
    <w:uiPriority w:val="0"/>
    <w:rPr>
      <w:rFonts w:asciiTheme="majorHAnsi" w:hAnsiTheme="majorHAnsi" w:eastAsiaTheme="majorEastAsia" w:cstheme="majorBidi"/>
      <w:b/>
      <w:bCs/>
      <w:sz w:val="32"/>
      <w:szCs w:val="32"/>
    </w:rPr>
  </w:style>
  <w:style w:type="character" w:customStyle="1" w:styleId="71">
    <w:name w:val="批注主题 字符"/>
    <w:basedOn w:val="59"/>
    <w:link w:val="29"/>
    <w:autoRedefine/>
    <w:qFormat/>
    <w:uiPriority w:val="0"/>
    <w:rPr>
      <w:rFonts w:ascii="Times New Roman" w:hAnsi="Times New Roman" w:eastAsia="仿宋_GB2312" w:cs="Times New Roman"/>
      <w:b/>
      <w:bCs/>
      <w:sz w:val="24"/>
      <w:szCs w:val="24"/>
    </w:rPr>
  </w:style>
  <w:style w:type="character" w:customStyle="1" w:styleId="72">
    <w:name w:val="正文文本首行缩进 2 字符"/>
    <w:basedOn w:val="67"/>
    <w:link w:val="8"/>
    <w:autoRedefine/>
    <w:qFormat/>
    <w:uiPriority w:val="0"/>
    <w:rPr>
      <w:rFonts w:ascii="Times New Roman" w:hAnsi="Times New Roman" w:eastAsia="仿宋_GB2312" w:cs="Times New Roman"/>
      <w:sz w:val="24"/>
      <w:szCs w:val="24"/>
    </w:rPr>
  </w:style>
  <w:style w:type="paragraph" w:customStyle="1" w:styleId="73">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74">
    <w:name w:val="font31"/>
    <w:autoRedefine/>
    <w:qFormat/>
    <w:uiPriority w:val="0"/>
    <w:rPr>
      <w:rFonts w:hint="default" w:ascii="Times New Roman" w:hAnsi="Times New Roman" w:cs="Times New Roman"/>
      <w:color w:val="000000"/>
      <w:sz w:val="21"/>
      <w:szCs w:val="21"/>
      <w:u w:val="none"/>
    </w:rPr>
  </w:style>
  <w:style w:type="paragraph" w:customStyle="1" w:styleId="75">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kern w:val="0"/>
      <w:sz w:val="21"/>
      <w:szCs w:val="20"/>
    </w:rPr>
  </w:style>
  <w:style w:type="paragraph" w:customStyle="1" w:styleId="76">
    <w:name w:val="表格"/>
    <w:basedOn w:val="1"/>
    <w:next w:val="1"/>
    <w:link w:val="89"/>
    <w:autoRedefine/>
    <w:qFormat/>
    <w:uiPriority w:val="0"/>
    <w:pPr>
      <w:snapToGrid w:val="0"/>
      <w:jc w:val="center"/>
    </w:pPr>
  </w:style>
  <w:style w:type="paragraph" w:customStyle="1" w:styleId="77">
    <w:name w:val="正文001"/>
    <w:basedOn w:val="1"/>
    <w:autoRedefine/>
    <w:qFormat/>
    <w:uiPriority w:val="0"/>
    <w:pPr>
      <w:spacing w:before="60" w:line="420" w:lineRule="exact"/>
      <w:ind w:firstLine="482"/>
    </w:pPr>
    <w:rPr>
      <w:szCs w:val="20"/>
    </w:rPr>
  </w:style>
  <w:style w:type="character" w:customStyle="1" w:styleId="78">
    <w:name w:val="font21"/>
    <w:autoRedefine/>
    <w:qFormat/>
    <w:uiPriority w:val="0"/>
    <w:rPr>
      <w:rFonts w:hint="eastAsia" w:ascii="宋体" w:hAnsi="宋体" w:eastAsia="宋体" w:cs="宋体"/>
      <w:color w:val="000000"/>
      <w:sz w:val="18"/>
      <w:szCs w:val="18"/>
      <w:u w:val="none"/>
    </w:rPr>
  </w:style>
  <w:style w:type="paragraph" w:styleId="79">
    <w:name w:val="Quote"/>
    <w:next w:val="1"/>
    <w:link w:val="80"/>
    <w:autoRedefine/>
    <w:qFormat/>
    <w:uiPriority w:val="0"/>
    <w:pPr>
      <w:spacing w:line="276" w:lineRule="auto"/>
      <w:jc w:val="center"/>
    </w:pPr>
    <w:rPr>
      <w:rFonts w:ascii="Times New Roman" w:hAnsi="Times New Roman" w:eastAsia="仿宋_GB2312" w:cs="Times New Roman"/>
      <w:iCs/>
      <w:color w:val="000000"/>
      <w:kern w:val="2"/>
      <w:sz w:val="24"/>
      <w:szCs w:val="24"/>
      <w:lang w:val="en-US" w:eastAsia="zh-CN" w:bidi="ar-SA"/>
    </w:rPr>
  </w:style>
  <w:style w:type="character" w:customStyle="1" w:styleId="80">
    <w:name w:val="引用 字符"/>
    <w:basedOn w:val="33"/>
    <w:link w:val="79"/>
    <w:autoRedefine/>
    <w:qFormat/>
    <w:uiPriority w:val="0"/>
    <w:rPr>
      <w:rFonts w:ascii="Times New Roman" w:hAnsi="Times New Roman" w:eastAsia="仿宋_GB2312" w:cs="Times New Roman"/>
      <w:iCs/>
      <w:color w:val="000000"/>
      <w:sz w:val="24"/>
      <w:szCs w:val="24"/>
    </w:rPr>
  </w:style>
  <w:style w:type="paragraph" w:customStyle="1" w:styleId="81">
    <w:name w:val="正文01"/>
    <w:basedOn w:val="1"/>
    <w:link w:val="82"/>
    <w:autoRedefine/>
    <w:qFormat/>
    <w:uiPriority w:val="0"/>
    <w:pPr>
      <w:spacing w:before="60" w:line="460" w:lineRule="exact"/>
      <w:ind w:firstLine="200" w:firstLineChars="200"/>
    </w:pPr>
    <w:rPr>
      <w:rFonts w:ascii="Arial" w:hAnsi="Arial"/>
      <w:color w:val="000000"/>
    </w:rPr>
  </w:style>
  <w:style w:type="character" w:customStyle="1" w:styleId="82">
    <w:name w:val="正文01 Char Char"/>
    <w:link w:val="81"/>
    <w:autoRedefine/>
    <w:qFormat/>
    <w:uiPriority w:val="0"/>
    <w:rPr>
      <w:rFonts w:ascii="Arial" w:hAnsi="Arial" w:eastAsia="仿宋_GB2312" w:cs="Times New Roman"/>
      <w:color w:val="000000"/>
      <w:sz w:val="24"/>
      <w:szCs w:val="24"/>
    </w:rPr>
  </w:style>
  <w:style w:type="paragraph" w:customStyle="1" w:styleId="83">
    <w:name w:val="表正文"/>
    <w:autoRedefine/>
    <w:qFormat/>
    <w:uiPriority w:val="0"/>
    <w:pPr>
      <w:widowControl w:val="0"/>
      <w:spacing w:line="276" w:lineRule="auto"/>
      <w:jc w:val="center"/>
    </w:pPr>
    <w:rPr>
      <w:rFonts w:ascii="Times New Roman" w:hAnsi="Times New Roman" w:eastAsia="仿宋_GB2312" w:cs="Times New Roman"/>
      <w:kern w:val="2"/>
      <w:sz w:val="24"/>
      <w:szCs w:val="22"/>
      <w:lang w:val="en-US" w:eastAsia="zh-CN" w:bidi="ar-SA"/>
    </w:rPr>
  </w:style>
  <w:style w:type="character" w:customStyle="1" w:styleId="84">
    <w:name w:val="正文1"/>
    <w:autoRedefine/>
    <w:qFormat/>
    <w:uiPriority w:val="0"/>
    <w:rPr>
      <w:rFonts w:hint="eastAsia" w:ascii="宋体" w:hAnsi="宋体" w:eastAsia="宋体" w:cs="Verdana"/>
      <w:kern w:val="0"/>
      <w:sz w:val="22"/>
      <w:szCs w:val="22"/>
      <w:lang w:eastAsia="en-US"/>
    </w:rPr>
  </w:style>
  <w:style w:type="paragraph" w:customStyle="1" w:styleId="85">
    <w:name w:val="新正文"/>
    <w:basedOn w:val="1"/>
    <w:autoRedefine/>
    <w:qFormat/>
    <w:uiPriority w:val="0"/>
    <w:pPr>
      <w:spacing w:before="60" w:line="460" w:lineRule="exact"/>
      <w:ind w:firstLine="200" w:firstLineChars="200"/>
    </w:pPr>
    <w:rPr>
      <w:rFonts w:eastAsia="宋体"/>
    </w:rPr>
  </w:style>
  <w:style w:type="paragraph" w:customStyle="1" w:styleId="86">
    <w:name w:val="表格样式11"/>
    <w:basedOn w:val="1"/>
    <w:autoRedefine/>
    <w:qFormat/>
    <w:uiPriority w:val="0"/>
    <w:pPr>
      <w:widowControl/>
      <w:spacing w:line="0" w:lineRule="atLeast"/>
      <w:jc w:val="center"/>
    </w:pPr>
    <w:rPr>
      <w:rFonts w:ascii="Arial" w:hAnsi="Arial" w:eastAsia="宋体" w:cs="Arial"/>
      <w:kern w:val="0"/>
      <w:szCs w:val="21"/>
      <w:lang w:eastAsia="en-US" w:bidi="en-US"/>
    </w:rPr>
  </w:style>
  <w:style w:type="paragraph" w:customStyle="1" w:styleId="87">
    <w:name w:val="正文_7"/>
    <w:autoRedefine/>
    <w:qFormat/>
    <w:uiPriority w:val="0"/>
    <w:pPr>
      <w:widowControl w:val="0"/>
      <w:jc w:val="both"/>
    </w:pPr>
    <w:rPr>
      <w:rFonts w:ascii="Calibri" w:hAnsi="Calibri" w:eastAsia="宋体" w:cs="Times New Roman"/>
      <w:kern w:val="2"/>
      <w:sz w:val="21"/>
      <w:lang w:val="en-US" w:eastAsia="zh-CN" w:bidi="ar-SA"/>
    </w:rPr>
  </w:style>
  <w:style w:type="paragraph" w:customStyle="1" w:styleId="88">
    <w:name w:val="样式1"/>
    <w:basedOn w:val="1"/>
    <w:autoRedefine/>
    <w:qFormat/>
    <w:uiPriority w:val="0"/>
    <w:pPr>
      <w:jc w:val="center"/>
      <w:outlineLvl w:val="0"/>
    </w:pPr>
    <w:rPr>
      <w:rFonts w:ascii="Calibri" w:hAnsi="Calibri"/>
      <w:b/>
      <w:bCs/>
      <w:sz w:val="32"/>
      <w:szCs w:val="22"/>
    </w:rPr>
  </w:style>
  <w:style w:type="character" w:customStyle="1" w:styleId="89">
    <w:name w:val="表格 Char1"/>
    <w:link w:val="76"/>
    <w:autoRedefine/>
    <w:qFormat/>
    <w:uiPriority w:val="0"/>
    <w:rPr>
      <w:rFonts w:ascii="Times New Roman" w:hAnsi="Times New Roman" w:eastAsia="仿宋_GB2312" w:cs="Times New Roman"/>
      <w:sz w:val="24"/>
      <w:szCs w:val="24"/>
    </w:rPr>
  </w:style>
  <w:style w:type="character" w:customStyle="1" w:styleId="90">
    <w:name w:val="表4-1 Char"/>
    <w:link w:val="91"/>
    <w:autoRedefine/>
    <w:qFormat/>
    <w:uiPriority w:val="0"/>
    <w:rPr>
      <w:rFonts w:ascii="Arial" w:hAnsi="Arial"/>
      <w:sz w:val="24"/>
      <w:szCs w:val="21"/>
    </w:rPr>
  </w:style>
  <w:style w:type="paragraph" w:customStyle="1" w:styleId="91">
    <w:name w:val="表4-1"/>
    <w:link w:val="90"/>
    <w:autoRedefine/>
    <w:qFormat/>
    <w:uiPriority w:val="0"/>
    <w:pPr>
      <w:numPr>
        <w:ilvl w:val="0"/>
        <w:numId w:val="2"/>
      </w:numPr>
      <w:tabs>
        <w:tab w:val="left" w:pos="360"/>
      </w:tabs>
      <w:spacing w:line="320" w:lineRule="exact"/>
      <w:jc w:val="center"/>
    </w:pPr>
    <w:rPr>
      <w:rFonts w:ascii="Arial" w:hAnsi="Arial" w:eastAsiaTheme="minorEastAsia" w:cstheme="minorBidi"/>
      <w:kern w:val="2"/>
      <w:sz w:val="24"/>
      <w:szCs w:val="21"/>
      <w:lang w:val="en-US" w:eastAsia="zh-CN" w:bidi="ar-SA"/>
    </w:rPr>
  </w:style>
  <w:style w:type="character" w:customStyle="1" w:styleId="92">
    <w:name w:val="fontstyle01"/>
    <w:autoRedefine/>
    <w:qFormat/>
    <w:uiPriority w:val="0"/>
    <w:rPr>
      <w:rFonts w:hint="eastAsia" w:ascii="宋体" w:hAnsi="宋体" w:eastAsia="宋体"/>
      <w:color w:val="000000"/>
      <w:sz w:val="22"/>
      <w:szCs w:val="22"/>
    </w:rPr>
  </w:style>
  <w:style w:type="character" w:customStyle="1" w:styleId="93">
    <w:name w:val="fontstyle21"/>
    <w:autoRedefine/>
    <w:qFormat/>
    <w:uiPriority w:val="0"/>
    <w:rPr>
      <w:rFonts w:hint="default" w:ascii="TimesNewRomanPSMT" w:hAnsi="TimesNewRomanPSMT"/>
      <w:color w:val="000000"/>
      <w:sz w:val="22"/>
      <w:szCs w:val="22"/>
    </w:rPr>
  </w:style>
  <w:style w:type="character" w:customStyle="1" w:styleId="94">
    <w:name w:val="标题 5 字符1"/>
    <w:link w:val="6"/>
    <w:autoRedefine/>
    <w:qFormat/>
    <w:uiPriority w:val="0"/>
    <w:rPr>
      <w:rFonts w:ascii="Times New Roman" w:hAnsi="Times New Roman" w:eastAsia="宋体" w:cs="Times New Roman"/>
      <w:b/>
      <w:bCs/>
      <w:sz w:val="28"/>
      <w:szCs w:val="28"/>
      <w:lang w:val="zh-CN"/>
    </w:rPr>
  </w:style>
  <w:style w:type="character" w:customStyle="1" w:styleId="95">
    <w:name w:val="表格正文 Char2"/>
    <w:autoRedefine/>
    <w:qFormat/>
    <w:uiPriority w:val="0"/>
    <w:rPr>
      <w:rFonts w:eastAsia="宋体"/>
      <w:kern w:val="2"/>
      <w:sz w:val="21"/>
      <w:szCs w:val="21"/>
      <w:lang w:val="en-US" w:eastAsia="zh-CN" w:bidi="ar-SA"/>
    </w:rPr>
  </w:style>
  <w:style w:type="paragraph" w:customStyle="1" w:styleId="96">
    <w:name w:val="(1表格"/>
    <w:basedOn w:val="3"/>
    <w:autoRedefine/>
    <w:qFormat/>
    <w:uiPriority w:val="0"/>
    <w:pPr>
      <w:keepNext w:val="0"/>
      <w:keepLines w:val="0"/>
      <w:spacing w:before="0" w:after="0" w:line="240" w:lineRule="auto"/>
      <w:jc w:val="center"/>
    </w:pPr>
    <w:rPr>
      <w:rFonts w:ascii="Times New Roman" w:hAnsi="Times New Roman" w:eastAsia="仿宋_GB2312"/>
      <w:b w:val="0"/>
      <w:bCs w:val="0"/>
      <w:color w:val="000000"/>
      <w:kern w:val="0"/>
      <w:sz w:val="21"/>
      <w:szCs w:val="30"/>
    </w:rPr>
  </w:style>
  <w:style w:type="paragraph" w:customStyle="1" w:styleId="97">
    <w:name w:val="表格正文8"/>
    <w:basedOn w:val="1"/>
    <w:autoRedefine/>
    <w:qFormat/>
    <w:uiPriority w:val="0"/>
    <w:pPr>
      <w:spacing w:line="360" w:lineRule="exact"/>
      <w:jc w:val="center"/>
    </w:pPr>
    <w:rPr>
      <w:rFonts w:eastAsia="宋体"/>
      <w:snapToGrid w:val="0"/>
      <w:kern w:val="0"/>
      <w:sz w:val="21"/>
      <w:szCs w:val="21"/>
    </w:rPr>
  </w:style>
  <w:style w:type="character" w:customStyle="1" w:styleId="98">
    <w:name w:val="fontstyle11"/>
    <w:autoRedefine/>
    <w:qFormat/>
    <w:uiPriority w:val="0"/>
    <w:rPr>
      <w:rFonts w:hint="default" w:ascii="TimesNewRomanPSMT" w:hAnsi="TimesNewRomanPSMT"/>
      <w:color w:val="000000"/>
      <w:sz w:val="24"/>
      <w:szCs w:val="24"/>
    </w:rPr>
  </w:style>
  <w:style w:type="character" w:customStyle="1" w:styleId="99">
    <w:name w:val="表题 Char"/>
    <w:link w:val="100"/>
    <w:autoRedefine/>
    <w:qFormat/>
    <w:uiPriority w:val="0"/>
    <w:rPr>
      <w:b/>
      <w:snapToGrid w:val="0"/>
      <w:color w:val="000000"/>
    </w:rPr>
  </w:style>
  <w:style w:type="paragraph" w:customStyle="1" w:styleId="100">
    <w:name w:val="表题"/>
    <w:basedOn w:val="1"/>
    <w:next w:val="1"/>
    <w:link w:val="99"/>
    <w:autoRedefine/>
    <w:qFormat/>
    <w:uiPriority w:val="0"/>
    <w:pPr>
      <w:keepNext/>
      <w:widowControl/>
      <w:autoSpaceDE w:val="0"/>
      <w:autoSpaceDN w:val="0"/>
      <w:adjustRightInd w:val="0"/>
      <w:snapToGrid w:val="0"/>
      <w:spacing w:line="240" w:lineRule="auto"/>
      <w:jc w:val="center"/>
    </w:pPr>
    <w:rPr>
      <w:rFonts w:asciiTheme="minorHAnsi" w:hAnsiTheme="minorHAnsi" w:eastAsiaTheme="minorEastAsia" w:cstheme="minorBidi"/>
      <w:b/>
      <w:snapToGrid w:val="0"/>
      <w:color w:val="000000"/>
      <w:sz w:val="21"/>
      <w:szCs w:val="22"/>
    </w:rPr>
  </w:style>
  <w:style w:type="paragraph" w:customStyle="1" w:styleId="101">
    <w:name w:val="表格文字"/>
    <w:basedOn w:val="1"/>
    <w:next w:val="1"/>
    <w:link w:val="102"/>
    <w:autoRedefine/>
    <w:qFormat/>
    <w:uiPriority w:val="0"/>
    <w:pPr>
      <w:adjustRightInd w:val="0"/>
      <w:snapToGrid w:val="0"/>
      <w:spacing w:line="240" w:lineRule="exact"/>
      <w:jc w:val="center"/>
    </w:pPr>
    <w:rPr>
      <w:rFonts w:eastAsia="宋体"/>
      <w:sz w:val="21"/>
      <w:szCs w:val="20"/>
      <w:lang w:val="zh-CN"/>
    </w:rPr>
  </w:style>
  <w:style w:type="character" w:customStyle="1" w:styleId="102">
    <w:name w:val="表格文字 Char"/>
    <w:link w:val="101"/>
    <w:autoRedefine/>
    <w:qFormat/>
    <w:uiPriority w:val="0"/>
    <w:rPr>
      <w:rFonts w:ascii="Times New Roman" w:hAnsi="Times New Roman" w:eastAsia="宋体" w:cs="Times New Roman"/>
      <w:szCs w:val="20"/>
      <w:lang w:val="zh-CN"/>
    </w:rPr>
  </w:style>
  <w:style w:type="paragraph" w:customStyle="1" w:styleId="103">
    <w:name w:val="报告表小标题"/>
    <w:basedOn w:val="1"/>
    <w:autoRedefine/>
    <w:qFormat/>
    <w:uiPriority w:val="0"/>
    <w:pPr>
      <w:spacing w:line="440" w:lineRule="exact"/>
    </w:pPr>
    <w:rPr>
      <w:rFonts w:eastAsia="宋体"/>
      <w:b/>
    </w:rPr>
  </w:style>
  <w:style w:type="character" w:customStyle="1" w:styleId="104">
    <w:name w:val="正文缩进 Char"/>
    <w:autoRedefine/>
    <w:qFormat/>
    <w:uiPriority w:val="0"/>
    <w:rPr>
      <w:kern w:val="2"/>
      <w:sz w:val="21"/>
    </w:rPr>
  </w:style>
  <w:style w:type="character" w:customStyle="1" w:styleId="105">
    <w:name w:val="报告正文-连续目录 Char Char"/>
    <w:link w:val="106"/>
    <w:autoRedefine/>
    <w:qFormat/>
    <w:uiPriority w:val="0"/>
    <w:rPr>
      <w:rFonts w:ascii="Arial" w:hAnsi="Arial"/>
      <w:snapToGrid w:val="0"/>
      <w:sz w:val="24"/>
      <w:szCs w:val="24"/>
    </w:rPr>
  </w:style>
  <w:style w:type="paragraph" w:customStyle="1" w:styleId="106">
    <w:name w:val="报告正文-连续目录"/>
    <w:link w:val="105"/>
    <w:autoRedefine/>
    <w:qFormat/>
    <w:uiPriority w:val="0"/>
    <w:pPr>
      <w:spacing w:line="440" w:lineRule="exact"/>
      <w:ind w:firstLine="200" w:firstLineChars="200"/>
    </w:pPr>
    <w:rPr>
      <w:rFonts w:ascii="Arial" w:hAnsi="Arial" w:eastAsiaTheme="minorEastAsia" w:cstheme="minorBidi"/>
      <w:snapToGrid w:val="0"/>
      <w:kern w:val="2"/>
      <w:sz w:val="24"/>
      <w:szCs w:val="24"/>
      <w:lang w:val="en-US" w:eastAsia="zh-CN" w:bidi="ar-SA"/>
    </w:rPr>
  </w:style>
  <w:style w:type="character" w:customStyle="1" w:styleId="107">
    <w:name w:val="页脚 字符1"/>
    <w:autoRedefine/>
    <w:qFormat/>
    <w:locked/>
    <w:uiPriority w:val="99"/>
    <w:rPr>
      <w:rFonts w:eastAsia="仿宋_GB2312"/>
      <w:kern w:val="2"/>
      <w:sz w:val="18"/>
      <w:szCs w:val="24"/>
    </w:rPr>
  </w:style>
  <w:style w:type="character" w:customStyle="1" w:styleId="108">
    <w:name w:val="日期 字符2"/>
    <w:link w:val="17"/>
    <w:autoRedefine/>
    <w:qFormat/>
    <w:locked/>
    <w:uiPriority w:val="0"/>
    <w:rPr>
      <w:rFonts w:ascii="Times New Roman" w:hAnsi="Times New Roman" w:eastAsia="宋体" w:cs="Times New Roman"/>
      <w:kern w:val="0"/>
      <w:sz w:val="24"/>
      <w:szCs w:val="20"/>
    </w:rPr>
  </w:style>
  <w:style w:type="character" w:customStyle="1" w:styleId="109">
    <w:name w:val="正文文本 字符1"/>
    <w:autoRedefine/>
    <w:semiHidden/>
    <w:qFormat/>
    <w:uiPriority w:val="0"/>
    <w:rPr>
      <w:rFonts w:ascii="Times New Roman" w:hAnsi="Times New Roman" w:eastAsia="宋体"/>
      <w:sz w:val="24"/>
    </w:rPr>
  </w:style>
  <w:style w:type="character" w:customStyle="1" w:styleId="110">
    <w:name w:val="表格 Char"/>
    <w:autoRedefine/>
    <w:qFormat/>
    <w:locked/>
    <w:uiPriority w:val="0"/>
    <w:rPr>
      <w:rFonts w:ascii="宋体"/>
      <w:sz w:val="21"/>
    </w:rPr>
  </w:style>
  <w:style w:type="character" w:customStyle="1" w:styleId="111">
    <w:name w:val="批注文字 字符1"/>
    <w:autoRedefine/>
    <w:semiHidden/>
    <w:qFormat/>
    <w:uiPriority w:val="99"/>
    <w:rPr>
      <w:rFonts w:ascii="Times New Roman" w:hAnsi="Times New Roman" w:eastAsia="宋体"/>
      <w:sz w:val="24"/>
    </w:rPr>
  </w:style>
  <w:style w:type="character" w:customStyle="1" w:styleId="112">
    <w:name w:val="正文文本缩进 Char"/>
    <w:autoRedefine/>
    <w:semiHidden/>
    <w:qFormat/>
    <w:locked/>
    <w:uiPriority w:val="0"/>
    <w:rPr>
      <w:rFonts w:ascii="Times New Roman" w:hAnsi="Times New Roman" w:eastAsia="宋体"/>
      <w:sz w:val="24"/>
    </w:rPr>
  </w:style>
  <w:style w:type="character" w:customStyle="1" w:styleId="113">
    <w:name w:val="日期 字符1"/>
    <w:autoRedefine/>
    <w:qFormat/>
    <w:uiPriority w:val="0"/>
    <w:rPr>
      <w:rFonts w:eastAsia="仿宋_GB2312"/>
      <w:kern w:val="2"/>
      <w:sz w:val="24"/>
      <w:szCs w:val="24"/>
    </w:rPr>
  </w:style>
  <w:style w:type="paragraph" w:customStyle="1" w:styleId="114">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5">
    <w:name w:val="普通(网站)2"/>
    <w:basedOn w:val="1"/>
    <w:autoRedefine/>
    <w:qFormat/>
    <w:uiPriority w:val="0"/>
    <w:pPr>
      <w:widowControl/>
      <w:spacing w:before="100" w:beforeAutospacing="1" w:after="100" w:afterAutospacing="1" w:line="240" w:lineRule="auto"/>
      <w:jc w:val="left"/>
    </w:pPr>
    <w:rPr>
      <w:rFonts w:ascii="宋体" w:hAnsi="宋体" w:eastAsia="宋体"/>
      <w:szCs w:val="20"/>
    </w:rPr>
  </w:style>
  <w:style w:type="paragraph" w:customStyle="1" w:styleId="116">
    <w:name w:val="3"/>
    <w:basedOn w:val="1"/>
    <w:autoRedefine/>
    <w:qFormat/>
    <w:uiPriority w:val="0"/>
    <w:pPr>
      <w:snapToGrid w:val="0"/>
      <w:ind w:firstLine="562" w:firstLineChars="200"/>
      <w:outlineLvl w:val="1"/>
    </w:pPr>
    <w:rPr>
      <w:rFonts w:eastAsia="宋体"/>
      <w:b/>
      <w:sz w:val="28"/>
      <w:szCs w:val="28"/>
    </w:rPr>
  </w:style>
  <w:style w:type="paragraph" w:customStyle="1" w:styleId="117">
    <w:name w:val="表1-1"/>
    <w:basedOn w:val="1"/>
    <w:autoRedefine/>
    <w:qFormat/>
    <w:uiPriority w:val="99"/>
    <w:pPr>
      <w:tabs>
        <w:tab w:val="left" w:pos="360"/>
      </w:tabs>
      <w:spacing w:line="320" w:lineRule="exact"/>
      <w:jc w:val="center"/>
    </w:pPr>
    <w:rPr>
      <w:rFonts w:ascii="Arial" w:hAnsi="Arial" w:eastAsia="宋体" w:cs="Arial"/>
      <w:kern w:val="0"/>
    </w:rPr>
  </w:style>
  <w:style w:type="paragraph" w:customStyle="1" w:styleId="118">
    <w:name w:val="表内文字2"/>
    <w:basedOn w:val="119"/>
    <w:autoRedefine/>
    <w:qFormat/>
    <w:uiPriority w:val="0"/>
    <w:rPr>
      <w:b/>
    </w:rPr>
  </w:style>
  <w:style w:type="paragraph" w:customStyle="1" w:styleId="119">
    <w:name w:val="表内文字1"/>
    <w:basedOn w:val="1"/>
    <w:autoRedefine/>
    <w:qFormat/>
    <w:uiPriority w:val="0"/>
    <w:pPr>
      <w:adjustRightInd w:val="0"/>
      <w:snapToGrid w:val="0"/>
      <w:spacing w:line="240" w:lineRule="auto"/>
      <w:jc w:val="center"/>
    </w:pPr>
    <w:rPr>
      <w:rFonts w:eastAsia="宋体"/>
      <w:snapToGrid w:val="0"/>
      <w:kern w:val="0"/>
      <w:sz w:val="21"/>
      <w:szCs w:val="20"/>
    </w:rPr>
  </w:style>
  <w:style w:type="character" w:customStyle="1" w:styleId="120">
    <w:name w:val="表格正文 Char Char"/>
    <w:autoRedefine/>
    <w:qFormat/>
    <w:uiPriority w:val="0"/>
    <w:rPr>
      <w:rFonts w:eastAsia="宋体"/>
      <w:kern w:val="2"/>
      <w:sz w:val="21"/>
      <w:szCs w:val="24"/>
      <w:lang w:val="en-US" w:eastAsia="zh-CN" w:bidi="ar-SA"/>
    </w:rPr>
  </w:style>
  <w:style w:type="paragraph" w:customStyle="1" w:styleId="121">
    <w:name w:val="1"/>
    <w:basedOn w:val="1"/>
    <w:next w:val="1"/>
    <w:link w:val="122"/>
    <w:autoRedefine/>
    <w:qFormat/>
    <w:uiPriority w:val="39"/>
    <w:pPr>
      <w:spacing w:line="240" w:lineRule="auto"/>
      <w:ind w:left="840" w:leftChars="400"/>
    </w:pPr>
    <w:rPr>
      <w:rFonts w:eastAsia="宋体"/>
      <w:sz w:val="21"/>
    </w:rPr>
  </w:style>
  <w:style w:type="character" w:customStyle="1" w:styleId="122">
    <w:name w:val="正文首行缩进 2 Char"/>
    <w:link w:val="121"/>
    <w:autoRedefine/>
    <w:qFormat/>
    <w:uiPriority w:val="39"/>
    <w:rPr>
      <w:rFonts w:ascii="Times New Roman" w:hAnsi="Times New Roman" w:eastAsia="宋体" w:cs="Times New Roman"/>
      <w:szCs w:val="24"/>
    </w:rPr>
  </w:style>
  <w:style w:type="character" w:customStyle="1" w:styleId="123">
    <w:name w:val="纯文本 Char"/>
    <w:autoRedefine/>
    <w:qFormat/>
    <w:uiPriority w:val="99"/>
    <w:rPr>
      <w:rFonts w:ascii="宋体" w:hAnsi="Courier New" w:cs="Courier New"/>
      <w:kern w:val="2"/>
      <w:sz w:val="21"/>
      <w:szCs w:val="21"/>
    </w:rPr>
  </w:style>
  <w:style w:type="character" w:customStyle="1" w:styleId="124">
    <w:name w:val="引用 Char1"/>
    <w:autoRedefine/>
    <w:qFormat/>
    <w:uiPriority w:val="29"/>
    <w:rPr>
      <w:i/>
      <w:iCs/>
      <w:color w:val="000000"/>
      <w:kern w:val="2"/>
      <w:sz w:val="21"/>
      <w:szCs w:val="24"/>
    </w:rPr>
  </w:style>
  <w:style w:type="paragraph" w:customStyle="1" w:styleId="125">
    <w:name w:val="表格正文正文"/>
    <w:basedOn w:val="1"/>
    <w:autoRedefine/>
    <w:qFormat/>
    <w:uiPriority w:val="0"/>
    <w:pPr>
      <w:spacing w:line="276" w:lineRule="auto"/>
      <w:ind w:firstLine="200" w:firstLineChars="200"/>
      <w:jc w:val="center"/>
    </w:pPr>
    <w:rPr>
      <w:rFonts w:eastAsia="宋体" w:cs="Arial"/>
      <w:sz w:val="21"/>
      <w:szCs w:val="20"/>
    </w:rPr>
  </w:style>
  <w:style w:type="paragraph" w:customStyle="1" w:styleId="126">
    <w:name w:val="标题5-ckg"/>
    <w:basedOn w:val="6"/>
    <w:link w:val="134"/>
    <w:autoRedefine/>
    <w:qFormat/>
    <w:uiPriority w:val="0"/>
    <w:pPr>
      <w:tabs>
        <w:tab w:val="left" w:pos="432"/>
        <w:tab w:val="left" w:pos="700"/>
      </w:tabs>
      <w:autoSpaceDE w:val="0"/>
      <w:autoSpaceDN w:val="0"/>
      <w:spacing w:before="0" w:after="0" w:line="460" w:lineRule="exact"/>
      <w:jc w:val="center"/>
    </w:pPr>
    <w:rPr>
      <w:bCs w:val="0"/>
      <w:sz w:val="24"/>
      <w:szCs w:val="21"/>
    </w:rPr>
  </w:style>
  <w:style w:type="character" w:customStyle="1" w:styleId="127">
    <w:name w:val="font01"/>
    <w:autoRedefine/>
    <w:qFormat/>
    <w:uiPriority w:val="0"/>
    <w:rPr>
      <w:rFonts w:hint="eastAsia" w:ascii="宋体" w:hAnsi="宋体" w:eastAsia="宋体"/>
      <w:color w:val="FF0000"/>
      <w:sz w:val="21"/>
      <w:szCs w:val="21"/>
      <w:u w:val="none"/>
    </w:rPr>
  </w:style>
  <w:style w:type="character" w:customStyle="1" w:styleId="128">
    <w:name w:val="font11"/>
    <w:autoRedefine/>
    <w:qFormat/>
    <w:uiPriority w:val="0"/>
    <w:rPr>
      <w:rFonts w:hint="default" w:ascii="Times New Roman" w:hAnsi="Times New Roman" w:cs="Times New Roman"/>
      <w:color w:val="FF0000"/>
      <w:sz w:val="21"/>
      <w:szCs w:val="21"/>
      <w:u w:val="none"/>
    </w:rPr>
  </w:style>
  <w:style w:type="character" w:customStyle="1" w:styleId="129">
    <w:name w:val="表格文字 Char Char Char"/>
    <w:autoRedefine/>
    <w:qFormat/>
    <w:uiPriority w:val="0"/>
    <w:rPr>
      <w:rFonts w:eastAsia="宋体"/>
      <w:kern w:val="2"/>
      <w:sz w:val="21"/>
      <w:szCs w:val="21"/>
      <w:lang w:val="en-US" w:eastAsia="zh-CN" w:bidi="ar-SA"/>
    </w:rPr>
  </w:style>
  <w:style w:type="character" w:customStyle="1" w:styleId="130">
    <w:name w:val="表格文字1 Char"/>
    <w:link w:val="131"/>
    <w:autoRedefine/>
    <w:qFormat/>
    <w:uiPriority w:val="0"/>
    <w:rPr>
      <w:rFonts w:ascii="黑体" w:hAnsi="宋体"/>
      <w:snapToGrid w:val="0"/>
      <w:sz w:val="18"/>
    </w:rPr>
  </w:style>
  <w:style w:type="paragraph" w:customStyle="1" w:styleId="131">
    <w:name w:val="表格文字1"/>
    <w:basedOn w:val="1"/>
    <w:next w:val="1"/>
    <w:link w:val="130"/>
    <w:autoRedefine/>
    <w:qFormat/>
    <w:uiPriority w:val="0"/>
    <w:pPr>
      <w:adjustRightInd w:val="0"/>
      <w:snapToGrid w:val="0"/>
      <w:spacing w:line="260" w:lineRule="exact"/>
      <w:jc w:val="center"/>
      <w:textAlignment w:val="baseline"/>
    </w:pPr>
    <w:rPr>
      <w:rFonts w:ascii="黑体" w:hAnsi="宋体" w:eastAsiaTheme="minorEastAsia" w:cstheme="minorBidi"/>
      <w:snapToGrid w:val="0"/>
      <w:sz w:val="18"/>
      <w:szCs w:val="22"/>
    </w:rPr>
  </w:style>
  <w:style w:type="character" w:customStyle="1" w:styleId="132">
    <w:name w:val="14pttext1"/>
    <w:autoRedefine/>
    <w:qFormat/>
    <w:uiPriority w:val="0"/>
    <w:rPr>
      <w:sz w:val="21"/>
      <w:szCs w:val="21"/>
    </w:rPr>
  </w:style>
  <w:style w:type="paragraph" w:customStyle="1" w:styleId="133">
    <w:name w:val="标题4 非连续"/>
    <w:basedOn w:val="1"/>
    <w:autoRedefine/>
    <w:qFormat/>
    <w:uiPriority w:val="0"/>
    <w:pPr>
      <w:keepNext/>
      <w:keepLines/>
      <w:numPr>
        <w:ilvl w:val="3"/>
        <w:numId w:val="3"/>
      </w:numPr>
      <w:spacing w:line="440" w:lineRule="exact"/>
      <w:outlineLvl w:val="3"/>
    </w:pPr>
    <w:rPr>
      <w:rFonts w:ascii="Arial" w:hAnsi="Arial" w:eastAsia="宋体"/>
      <w:bCs/>
      <w:kern w:val="0"/>
      <w:szCs w:val="28"/>
    </w:rPr>
  </w:style>
  <w:style w:type="character" w:customStyle="1" w:styleId="134">
    <w:name w:val="标题5-ckg Char"/>
    <w:link w:val="126"/>
    <w:autoRedefine/>
    <w:qFormat/>
    <w:uiPriority w:val="0"/>
    <w:rPr>
      <w:rFonts w:ascii="Times New Roman" w:hAnsi="Times New Roman" w:eastAsia="宋体" w:cs="Times New Roman"/>
      <w:b/>
      <w:sz w:val="24"/>
      <w:szCs w:val="21"/>
      <w:lang w:val="zh-CN"/>
    </w:rPr>
  </w:style>
  <w:style w:type="paragraph" w:customStyle="1" w:styleId="135">
    <w:name w:val="Char Char Char Char Char Char Char Char Char Char Char Char Char Char Char Char Char"/>
    <w:basedOn w:val="1"/>
    <w:autoRedefine/>
    <w:qFormat/>
    <w:uiPriority w:val="0"/>
    <w:pPr>
      <w:spacing w:line="500" w:lineRule="exact"/>
    </w:pPr>
    <w:rPr>
      <w:rFonts w:eastAsia="宋体"/>
    </w:rPr>
  </w:style>
  <w:style w:type="character" w:customStyle="1" w:styleId="136">
    <w:name w:val="文档结构图 Char"/>
    <w:autoRedefine/>
    <w:qFormat/>
    <w:uiPriority w:val="0"/>
    <w:rPr>
      <w:rFonts w:ascii="宋体"/>
      <w:kern w:val="2"/>
      <w:sz w:val="18"/>
      <w:szCs w:val="18"/>
    </w:rPr>
  </w:style>
  <w:style w:type="character" w:customStyle="1" w:styleId="137">
    <w:name w:val="正文缩进 Char1"/>
    <w:autoRedefine/>
    <w:qFormat/>
    <w:uiPriority w:val="0"/>
    <w:rPr>
      <w:kern w:val="2"/>
      <w:sz w:val="28"/>
    </w:rPr>
  </w:style>
  <w:style w:type="paragraph" w:customStyle="1" w:styleId="138">
    <w:name w:val="TOC 标题1"/>
    <w:basedOn w:val="2"/>
    <w:next w:val="1"/>
    <w:autoRedefine/>
    <w:semiHidden/>
    <w:unhideWhenUsed/>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139">
    <w:name w:val="正文2"/>
    <w:basedOn w:val="1"/>
    <w:link w:val="147"/>
    <w:autoRedefine/>
    <w:qFormat/>
    <w:uiPriority w:val="0"/>
    <w:pPr>
      <w:adjustRightInd w:val="0"/>
      <w:snapToGrid w:val="0"/>
      <w:spacing w:line="240" w:lineRule="auto"/>
      <w:jc w:val="center"/>
    </w:pPr>
    <w:rPr>
      <w:rFonts w:ascii="Calibri" w:hAnsi="Calibri" w:eastAsia="宋体"/>
      <w:sz w:val="16"/>
      <w:szCs w:val="20"/>
    </w:rPr>
  </w:style>
  <w:style w:type="character" w:customStyle="1" w:styleId="140">
    <w:name w:val="普通(网站) Char"/>
    <w:autoRedefine/>
    <w:qFormat/>
    <w:uiPriority w:val="0"/>
    <w:rPr>
      <w:rFonts w:ascii="宋体" w:hAnsi="宋体" w:cs="宋体"/>
      <w:sz w:val="24"/>
      <w:szCs w:val="24"/>
    </w:rPr>
  </w:style>
  <w:style w:type="character" w:customStyle="1" w:styleId="141">
    <w:name w:val="fontstyle31"/>
    <w:basedOn w:val="33"/>
    <w:autoRedefine/>
    <w:qFormat/>
    <w:uiPriority w:val="0"/>
    <w:rPr>
      <w:rFonts w:hint="default" w:ascii="TimesNewRomanPSMT" w:hAnsi="TimesNewRomanPSMT"/>
      <w:color w:val="000000"/>
      <w:sz w:val="24"/>
      <w:szCs w:val="24"/>
    </w:rPr>
  </w:style>
  <w:style w:type="paragraph" w:customStyle="1" w:styleId="142">
    <w:name w:val="表格内-ckg"/>
    <w:autoRedefine/>
    <w:qFormat/>
    <w:uiPriority w:val="0"/>
    <w:pPr>
      <w:jc w:val="center"/>
    </w:pPr>
    <w:rPr>
      <w:rFonts w:ascii="Times New Roman" w:hAnsi="Times New Roman" w:eastAsia="宋体" w:cs="Times New Roman"/>
      <w:color w:val="000000"/>
      <w:sz w:val="21"/>
      <w:szCs w:val="22"/>
      <w:lang w:val="en-US" w:eastAsia="zh-CN" w:bidi="ar-SA"/>
    </w:rPr>
  </w:style>
  <w:style w:type="character" w:customStyle="1" w:styleId="143">
    <w:name w:val="正文缩进 字符1"/>
    <w:autoRedefine/>
    <w:qFormat/>
    <w:uiPriority w:val="0"/>
    <w:rPr>
      <w:kern w:val="2"/>
      <w:sz w:val="21"/>
    </w:rPr>
  </w:style>
  <w:style w:type="paragraph" w:customStyle="1" w:styleId="144">
    <w:name w:val="标题5-whz"/>
    <w:basedOn w:val="6"/>
    <w:link w:val="145"/>
    <w:autoRedefine/>
    <w:qFormat/>
    <w:uiPriority w:val="0"/>
    <w:pPr>
      <w:tabs>
        <w:tab w:val="left" w:pos="700"/>
      </w:tabs>
      <w:autoSpaceDE w:val="0"/>
      <w:autoSpaceDN w:val="0"/>
      <w:adjustRightInd w:val="0"/>
      <w:snapToGrid w:val="0"/>
      <w:spacing w:before="0" w:after="0" w:line="240" w:lineRule="auto"/>
      <w:jc w:val="center"/>
    </w:pPr>
    <w:rPr>
      <w:bCs w:val="0"/>
      <w:color w:val="000000"/>
      <w:w w:val="90"/>
      <w:kern w:val="0"/>
      <w:sz w:val="21"/>
      <w:szCs w:val="20"/>
    </w:rPr>
  </w:style>
  <w:style w:type="character" w:customStyle="1" w:styleId="145">
    <w:name w:val="标题5-whz Char"/>
    <w:link w:val="144"/>
    <w:autoRedefine/>
    <w:qFormat/>
    <w:uiPriority w:val="0"/>
    <w:rPr>
      <w:rFonts w:ascii="Times New Roman" w:hAnsi="Times New Roman" w:eastAsia="宋体" w:cs="Times New Roman"/>
      <w:b/>
      <w:color w:val="000000"/>
      <w:w w:val="90"/>
      <w:kern w:val="0"/>
      <w:szCs w:val="20"/>
      <w:lang w:val="zh-CN"/>
    </w:rPr>
  </w:style>
  <w:style w:type="character" w:customStyle="1" w:styleId="146">
    <w:name w:val="纯文本 字符1"/>
    <w:basedOn w:val="33"/>
    <w:autoRedefine/>
    <w:qFormat/>
    <w:uiPriority w:val="0"/>
    <w:rPr>
      <w:rFonts w:ascii="宋体" w:hAnsi="Courier New" w:eastAsia="宋体" w:cs="Courier New"/>
      <w:szCs w:val="21"/>
    </w:rPr>
  </w:style>
  <w:style w:type="character" w:customStyle="1" w:styleId="147">
    <w:name w:val="正文2 Char"/>
    <w:link w:val="139"/>
    <w:autoRedefine/>
    <w:qFormat/>
    <w:uiPriority w:val="0"/>
    <w:rPr>
      <w:rFonts w:ascii="Calibri" w:hAnsi="Calibri" w:eastAsia="宋体" w:cs="Times New Roman"/>
      <w:sz w:val="16"/>
      <w:szCs w:val="20"/>
    </w:rPr>
  </w:style>
  <w:style w:type="character" w:styleId="148">
    <w:name w:val="Placeholder Text"/>
    <w:basedOn w:val="33"/>
    <w:autoRedefine/>
    <w:semiHidden/>
    <w:qFormat/>
    <w:uiPriority w:val="99"/>
    <w:rPr>
      <w:color w:val="808080"/>
    </w:rPr>
  </w:style>
  <w:style w:type="character" w:customStyle="1" w:styleId="149">
    <w:name w:val="标题 2 Char"/>
    <w:autoRedefine/>
    <w:qFormat/>
    <w:uiPriority w:val="0"/>
    <w:rPr>
      <w:kern w:val="2"/>
      <w:sz w:val="30"/>
      <w:szCs w:val="52"/>
    </w:rPr>
  </w:style>
  <w:style w:type="paragraph" w:customStyle="1" w:styleId="150">
    <w:name w:val="Body Text 22"/>
    <w:basedOn w:val="1"/>
    <w:autoRedefine/>
    <w:qFormat/>
    <w:uiPriority w:val="0"/>
    <w:pPr>
      <w:adjustRightInd w:val="0"/>
      <w:spacing w:line="440" w:lineRule="atLeast"/>
      <w:ind w:firstLine="480"/>
      <w:textAlignment w:val="baseline"/>
    </w:pPr>
    <w:rPr>
      <w:sz w:val="21"/>
      <w:szCs w:val="20"/>
    </w:rPr>
  </w:style>
  <w:style w:type="paragraph" w:customStyle="1" w:styleId="151">
    <w:name w:val="表2-1"/>
    <w:basedOn w:val="1"/>
    <w:autoRedefine/>
    <w:qFormat/>
    <w:uiPriority w:val="99"/>
    <w:pPr>
      <w:numPr>
        <w:ilvl w:val="0"/>
        <w:numId w:val="4"/>
      </w:numPr>
      <w:spacing w:line="320" w:lineRule="exact"/>
      <w:jc w:val="center"/>
    </w:pPr>
    <w:rPr>
      <w:rFonts w:ascii="Arial" w:hAnsi="Arial" w:eastAsia="宋体" w:cs="Arial"/>
      <w:kern w:val="0"/>
    </w:rPr>
  </w:style>
  <w:style w:type="paragraph" w:customStyle="1" w:styleId="152">
    <w:name w:val="标题3"/>
    <w:basedOn w:val="4"/>
    <w:autoRedefine/>
    <w:qFormat/>
    <w:uiPriority w:val="0"/>
    <w:pPr>
      <w:numPr>
        <w:ilvl w:val="2"/>
        <w:numId w:val="4"/>
      </w:numPr>
      <w:spacing w:before="0" w:after="0" w:line="440" w:lineRule="exact"/>
    </w:pPr>
    <w:rPr>
      <w:rFonts w:ascii="Arial" w:hAnsi="Arial" w:eastAsia="宋体"/>
      <w:kern w:val="0"/>
      <w:sz w:val="24"/>
    </w:rPr>
  </w:style>
  <w:style w:type="character" w:customStyle="1" w:styleId="153">
    <w:name w:val="样式4 Char Char"/>
    <w:link w:val="154"/>
    <w:autoRedefine/>
    <w:qFormat/>
    <w:uiPriority w:val="0"/>
    <w:rPr>
      <w:sz w:val="24"/>
    </w:rPr>
  </w:style>
  <w:style w:type="paragraph" w:customStyle="1" w:styleId="154">
    <w:name w:val="样式4"/>
    <w:basedOn w:val="1"/>
    <w:link w:val="153"/>
    <w:autoRedefine/>
    <w:qFormat/>
    <w:uiPriority w:val="0"/>
    <w:pPr>
      <w:ind w:firstLine="200" w:firstLineChars="200"/>
    </w:pPr>
    <w:rPr>
      <w:rFonts w:asciiTheme="minorHAnsi" w:hAnsiTheme="minorHAnsi" w:eastAsiaTheme="minorEastAsia" w:cstheme="minorBidi"/>
      <w:szCs w:val="22"/>
    </w:rPr>
  </w:style>
  <w:style w:type="paragraph" w:customStyle="1" w:styleId="155">
    <w:name w:val="常用正文样式"/>
    <w:link w:val="156"/>
    <w:autoRedefine/>
    <w:qFormat/>
    <w:uiPriority w:val="0"/>
    <w:pPr>
      <w:widowControl w:val="0"/>
      <w:spacing w:line="360" w:lineRule="auto"/>
      <w:ind w:firstLine="454"/>
      <w:jc w:val="both"/>
    </w:pPr>
    <w:rPr>
      <w:rFonts w:ascii="宋体" w:hAnsi="新宋体" w:eastAsia="仿宋" w:cs="Times New Roman"/>
      <w:kern w:val="2"/>
      <w:sz w:val="24"/>
      <w:szCs w:val="24"/>
      <w:lang w:val="en-US" w:eastAsia="zh-CN" w:bidi="ar-SA"/>
    </w:rPr>
  </w:style>
  <w:style w:type="character" w:customStyle="1" w:styleId="156">
    <w:name w:val="常用正文样式 Char1"/>
    <w:link w:val="155"/>
    <w:autoRedefine/>
    <w:qFormat/>
    <w:uiPriority w:val="0"/>
    <w:rPr>
      <w:rFonts w:ascii="宋体" w:hAnsi="新宋体" w:eastAsia="仿宋" w:cs="Times New Roman"/>
      <w:sz w:val="24"/>
      <w:szCs w:val="24"/>
    </w:rPr>
  </w:style>
  <w:style w:type="paragraph" w:customStyle="1" w:styleId="157">
    <w:name w:val="三级标题"/>
    <w:basedOn w:val="1"/>
    <w:link w:val="158"/>
    <w:autoRedefine/>
    <w:qFormat/>
    <w:uiPriority w:val="0"/>
    <w:pPr>
      <w:spacing w:before="300" w:line="460" w:lineRule="exact"/>
      <w:outlineLvl w:val="2"/>
    </w:pPr>
    <w:rPr>
      <w:rFonts w:eastAsia="宋体"/>
      <w:b/>
      <w:bCs/>
      <w:kern w:val="0"/>
    </w:rPr>
  </w:style>
  <w:style w:type="character" w:customStyle="1" w:styleId="158">
    <w:name w:val="三级标题 Char1"/>
    <w:link w:val="157"/>
    <w:autoRedefine/>
    <w:qFormat/>
    <w:uiPriority w:val="0"/>
    <w:rPr>
      <w:rFonts w:ascii="Times New Roman" w:hAnsi="Times New Roman" w:eastAsia="宋体" w:cs="Times New Roman"/>
      <w:b/>
      <w:bCs/>
      <w:kern w:val="0"/>
      <w:sz w:val="24"/>
      <w:szCs w:val="24"/>
    </w:rPr>
  </w:style>
  <w:style w:type="paragraph" w:customStyle="1" w:styleId="159">
    <w:name w:val="标题1-whz"/>
    <w:basedOn w:val="2"/>
    <w:autoRedefine/>
    <w:qFormat/>
    <w:uiPriority w:val="0"/>
    <w:pPr>
      <w:keepLines/>
      <w:tabs>
        <w:tab w:val="left" w:pos="840"/>
      </w:tabs>
      <w:overflowPunct/>
      <w:snapToGrid/>
      <w:spacing w:before="60" w:after="60" w:line="440" w:lineRule="exact"/>
      <w:ind w:left="0" w:firstLine="0" w:firstLineChars="200"/>
      <w:jc w:val="left"/>
    </w:pPr>
    <w:rPr>
      <w:rFonts w:eastAsia="宋体"/>
      <w:color w:val="auto"/>
      <w:sz w:val="32"/>
      <w:szCs w:val="44"/>
    </w:rPr>
  </w:style>
  <w:style w:type="paragraph" w:customStyle="1" w:styleId="160">
    <w:name w:val="标题3-whz"/>
    <w:basedOn w:val="4"/>
    <w:autoRedefine/>
    <w:qFormat/>
    <w:uiPriority w:val="0"/>
    <w:pPr>
      <w:spacing w:before="60" w:after="60" w:line="440" w:lineRule="exact"/>
      <w:ind w:left="1260" w:hanging="420" w:firstLineChars="200"/>
      <w:textAlignment w:val="baseline"/>
    </w:pPr>
    <w:rPr>
      <w:rFonts w:eastAsia="宋体"/>
      <w:sz w:val="28"/>
      <w:szCs w:val="28"/>
    </w:rPr>
  </w:style>
  <w:style w:type="paragraph" w:customStyle="1" w:styleId="161">
    <w:name w:val="标题4-whz"/>
    <w:basedOn w:val="5"/>
    <w:link w:val="162"/>
    <w:autoRedefine/>
    <w:qFormat/>
    <w:uiPriority w:val="0"/>
    <w:pPr>
      <w:spacing w:before="60" w:after="60" w:line="440" w:lineRule="exact"/>
      <w:ind w:left="142" w:firstLine="200" w:firstLineChars="200"/>
    </w:pPr>
    <w:rPr>
      <w:rFonts w:ascii="Times New Roman" w:hAnsi="Times New Roman" w:eastAsia="宋体" w:cs="Times New Roman"/>
      <w:sz w:val="24"/>
    </w:rPr>
  </w:style>
  <w:style w:type="character" w:customStyle="1" w:styleId="162">
    <w:name w:val="标题4-whz Char"/>
    <w:link w:val="161"/>
    <w:autoRedefine/>
    <w:qFormat/>
    <w:uiPriority w:val="0"/>
    <w:rPr>
      <w:rFonts w:ascii="Times New Roman" w:hAnsi="Times New Roman" w:eastAsia="宋体" w:cs="Times New Roman"/>
      <w:b/>
      <w:bCs/>
      <w:sz w:val="24"/>
      <w:szCs w:val="28"/>
    </w:rPr>
  </w:style>
  <w:style w:type="paragraph" w:customStyle="1" w:styleId="163">
    <w:name w:val="标题2-whz"/>
    <w:basedOn w:val="3"/>
    <w:autoRedefine/>
    <w:qFormat/>
    <w:uiPriority w:val="0"/>
    <w:pPr>
      <w:tabs>
        <w:tab w:val="left" w:pos="360"/>
      </w:tabs>
      <w:spacing w:before="60" w:after="60" w:line="440" w:lineRule="exact"/>
      <w:ind w:left="840" w:hanging="420" w:firstLineChars="200"/>
      <w:textAlignment w:val="baseline"/>
    </w:pPr>
    <w:rPr>
      <w:rFonts w:ascii="Times New Roman" w:hAnsi="Times New Roman" w:eastAsia="宋体"/>
      <w:sz w:val="30"/>
      <w:szCs w:val="30"/>
    </w:rPr>
  </w:style>
  <w:style w:type="paragraph" w:customStyle="1" w:styleId="164">
    <w:name w:val="表格数字"/>
    <w:basedOn w:val="1"/>
    <w:link w:val="165"/>
    <w:autoRedefine/>
    <w:qFormat/>
    <w:uiPriority w:val="0"/>
    <w:pPr>
      <w:spacing w:line="360" w:lineRule="exact"/>
      <w:jc w:val="center"/>
    </w:pPr>
    <w:rPr>
      <w:rFonts w:ascii="Arial" w:hAnsi="Arial" w:eastAsia="宋体" w:cs="宋体"/>
      <w:sz w:val="21"/>
    </w:rPr>
  </w:style>
  <w:style w:type="character" w:customStyle="1" w:styleId="165">
    <w:name w:val="表格数字 Char"/>
    <w:link w:val="164"/>
    <w:autoRedefine/>
    <w:qFormat/>
    <w:locked/>
    <w:uiPriority w:val="0"/>
    <w:rPr>
      <w:rFonts w:ascii="Arial" w:hAnsi="Arial" w:eastAsia="宋体" w:cs="宋体"/>
      <w:szCs w:val="24"/>
    </w:rPr>
  </w:style>
  <w:style w:type="character" w:customStyle="1" w:styleId="166">
    <w:name w:val="标题 1 字符1"/>
    <w:autoRedefine/>
    <w:qFormat/>
    <w:uiPriority w:val="0"/>
    <w:rPr>
      <w:rFonts w:eastAsia="黑体"/>
      <w:b/>
      <w:bCs/>
      <w:color w:val="000000"/>
      <w:kern w:val="44"/>
      <w:sz w:val="30"/>
      <w:szCs w:val="30"/>
    </w:rPr>
  </w:style>
  <w:style w:type="character" w:customStyle="1" w:styleId="167">
    <w:name w:val="普通(网站) 字符1"/>
    <w:autoRedefine/>
    <w:qFormat/>
    <w:locked/>
    <w:uiPriority w:val="0"/>
    <w:rPr>
      <w:rFonts w:ascii="宋体" w:hAnsi="宋体" w:eastAsia="宋体"/>
      <w:sz w:val="24"/>
    </w:rPr>
  </w:style>
  <w:style w:type="character" w:customStyle="1" w:styleId="168">
    <w:name w:val="纯文本 字符2"/>
    <w:autoRedefine/>
    <w:qFormat/>
    <w:uiPriority w:val="0"/>
    <w:rPr>
      <w:rFonts w:ascii="宋体" w:hAnsi="Courier New"/>
    </w:rPr>
  </w:style>
  <w:style w:type="character" w:customStyle="1" w:styleId="169">
    <w:name w:val="表格正文 Char1"/>
    <w:autoRedefine/>
    <w:qFormat/>
    <w:uiPriority w:val="0"/>
    <w:rPr>
      <w:kern w:val="2"/>
      <w:sz w:val="21"/>
      <w:szCs w:val="24"/>
    </w:rPr>
  </w:style>
  <w:style w:type="paragraph" w:customStyle="1" w:styleId="170">
    <w:name w:val="表"/>
    <w:basedOn w:val="1"/>
    <w:link w:val="171"/>
    <w:autoRedefine/>
    <w:qFormat/>
    <w:uiPriority w:val="0"/>
    <w:pPr>
      <w:snapToGrid w:val="0"/>
      <w:spacing w:line="240" w:lineRule="auto"/>
      <w:jc w:val="center"/>
    </w:pPr>
    <w:rPr>
      <w:rFonts w:eastAsia="宋体"/>
      <w:spacing w:val="2"/>
      <w:szCs w:val="20"/>
      <w:lang w:val="zh-CN"/>
    </w:rPr>
  </w:style>
  <w:style w:type="character" w:customStyle="1" w:styleId="171">
    <w:name w:val="表 Char1"/>
    <w:link w:val="170"/>
    <w:autoRedefine/>
    <w:qFormat/>
    <w:uiPriority w:val="0"/>
    <w:rPr>
      <w:rFonts w:ascii="Times New Roman" w:hAnsi="Times New Roman" w:eastAsia="宋体" w:cs="Times New Roman"/>
      <w:spacing w:val="2"/>
      <w:sz w:val="24"/>
      <w:szCs w:val="20"/>
      <w:lang w:val="zh-CN"/>
    </w:rPr>
  </w:style>
  <w:style w:type="character" w:customStyle="1" w:styleId="172">
    <w:name w:val="样式 Arial 11.5 磅"/>
    <w:autoRedefine/>
    <w:qFormat/>
    <w:uiPriority w:val="0"/>
    <w:rPr>
      <w:rFonts w:ascii="Arial" w:hAnsi="Arial"/>
      <w:sz w:val="24"/>
    </w:rPr>
  </w:style>
  <w:style w:type="character" w:customStyle="1" w:styleId="173">
    <w:name w:val="正文首行缩进 2 + Times New Roman Char Char"/>
    <w:link w:val="10"/>
    <w:autoRedefine/>
    <w:qFormat/>
    <w:uiPriority w:val="0"/>
    <w:rPr>
      <w:sz w:val="24"/>
      <w:szCs w:val="24"/>
    </w:rPr>
  </w:style>
  <w:style w:type="character" w:customStyle="1" w:styleId="174">
    <w:name w:val="报告书正文 Char"/>
    <w:link w:val="175"/>
    <w:autoRedefine/>
    <w:qFormat/>
    <w:locked/>
    <w:uiPriority w:val="0"/>
    <w:rPr>
      <w:sz w:val="24"/>
      <w:szCs w:val="26"/>
    </w:rPr>
  </w:style>
  <w:style w:type="paragraph" w:customStyle="1" w:styleId="175">
    <w:name w:val="报告书正文"/>
    <w:basedOn w:val="1"/>
    <w:link w:val="174"/>
    <w:autoRedefine/>
    <w:qFormat/>
    <w:uiPriority w:val="0"/>
    <w:pPr>
      <w:ind w:firstLine="480" w:firstLineChars="200"/>
    </w:pPr>
    <w:rPr>
      <w:rFonts w:asciiTheme="minorHAnsi" w:hAnsiTheme="minorHAnsi" w:eastAsiaTheme="minorEastAsia" w:cstheme="minorBidi"/>
      <w:szCs w:val="26"/>
    </w:rPr>
  </w:style>
  <w:style w:type="character" w:customStyle="1" w:styleId="176">
    <w:name w:val="表格备注"/>
    <w:autoRedefine/>
    <w:qFormat/>
    <w:uiPriority w:val="0"/>
    <w:rPr>
      <w:rFonts w:ascii="华文楷体" w:hAnsi="华文楷体" w:eastAsia="楷体_GB2312"/>
      <w:kern w:val="0"/>
      <w:sz w:val="21"/>
    </w:rPr>
  </w:style>
  <w:style w:type="paragraph" w:customStyle="1" w:styleId="177">
    <w:name w:val="图表题注"/>
    <w:basedOn w:val="1"/>
    <w:autoRedefine/>
    <w:qFormat/>
    <w:uiPriority w:val="0"/>
    <w:pPr>
      <w:widowControl/>
      <w:tabs>
        <w:tab w:val="right" w:leader="dot" w:pos="8889"/>
      </w:tabs>
      <w:ind w:firstLine="480"/>
      <w:jc w:val="center"/>
    </w:pPr>
    <w:rPr>
      <w:rFonts w:ascii="宋体" w:hAnsi="宋体" w:eastAsia="宋体" w:cs="宋体"/>
      <w:b/>
      <w:kern w:val="0"/>
    </w:rPr>
  </w:style>
  <w:style w:type="character" w:customStyle="1" w:styleId="178">
    <w:name w:val="表格文字2 Char Char"/>
    <w:link w:val="179"/>
    <w:autoRedefine/>
    <w:qFormat/>
    <w:uiPriority w:val="0"/>
    <w:rPr>
      <w:rFonts w:ascii="宋体"/>
      <w:szCs w:val="24"/>
    </w:rPr>
  </w:style>
  <w:style w:type="paragraph" w:customStyle="1" w:styleId="179">
    <w:name w:val="表格文字2"/>
    <w:basedOn w:val="1"/>
    <w:link w:val="178"/>
    <w:autoRedefine/>
    <w:qFormat/>
    <w:uiPriority w:val="0"/>
    <w:pPr>
      <w:keepNext/>
      <w:keepLines/>
      <w:tabs>
        <w:tab w:val="left" w:pos="0"/>
        <w:tab w:val="left" w:pos="277"/>
        <w:tab w:val="left" w:pos="600"/>
        <w:tab w:val="left" w:pos="780"/>
        <w:tab w:val="left" w:pos="2517"/>
      </w:tabs>
      <w:autoSpaceDE w:val="0"/>
      <w:autoSpaceDN w:val="0"/>
      <w:adjustRightInd w:val="0"/>
      <w:spacing w:before="60" w:line="240" w:lineRule="auto"/>
      <w:jc w:val="center"/>
      <w:textAlignment w:val="baseline"/>
    </w:pPr>
    <w:rPr>
      <w:rFonts w:ascii="宋体" w:hAnsiTheme="minorHAnsi" w:eastAsiaTheme="minorEastAsia" w:cstheme="minorBidi"/>
      <w:sz w:val="21"/>
    </w:rPr>
  </w:style>
  <w:style w:type="table" w:customStyle="1" w:styleId="180">
    <w:name w:val="三线表1"/>
    <w:basedOn w:val="31"/>
    <w:autoRedefine/>
    <w:qFormat/>
    <w:uiPriority w:val="0"/>
    <w:pPr>
      <w:jc w:val="center"/>
    </w:pPr>
    <w:rPr>
      <w:rFonts w:ascii="Calibri" w:hAnsi="Calibri"/>
    </w:rPr>
    <w:tblPr>
      <w:tblBorders>
        <w:top w:val="single" w:color="auto" w:sz="12" w:space="0"/>
        <w:bottom w:val="single" w:color="auto" w:sz="12" w:space="0"/>
        <w:insideH w:val="single" w:color="auto" w:sz="4" w:space="0"/>
        <w:insideV w:val="single" w:color="auto" w:sz="4" w:space="0"/>
      </w:tblBorders>
    </w:tblPr>
    <w:tcPr>
      <w:vAlign w:val="center"/>
    </w:tcPr>
    <w:tblStylePr w:type="firstRow">
      <w:rPr>
        <w:rFonts w:eastAsia="黑体"/>
        <w:sz w:val="21"/>
      </w:rPr>
      <w:tcPr>
        <w:tcBorders>
          <w:top w:val="nil"/>
          <w:left w:val="nil"/>
          <w:bottom w:val="single" w:color="auto" w:sz="12" w:space="0"/>
          <w:right w:val="nil"/>
          <w:insideH w:val="nil"/>
          <w:insideV w:val="nil"/>
          <w:tl2br w:val="nil"/>
          <w:tr2bl w:val="nil"/>
        </w:tcBorders>
      </w:tcPr>
    </w:tblStylePr>
  </w:style>
  <w:style w:type="paragraph" w:customStyle="1" w:styleId="181">
    <w:name w:val="TOC 标题2"/>
    <w:basedOn w:val="2"/>
    <w:next w:val="1"/>
    <w:autoRedefine/>
    <w:unhideWhenUsed/>
    <w:qFormat/>
    <w:uiPriority w:val="39"/>
    <w:pPr>
      <w:keepLines/>
      <w:widowControl/>
      <w:overflowPunct/>
      <w:snapToGrid/>
      <w:spacing w:before="240" w:after="0"/>
      <w:ind w:left="0" w:firstLine="0"/>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82">
    <w:name w:val="正文首行缩进 2 + Times New Roman Char"/>
    <w:autoRedefine/>
    <w:qFormat/>
    <w:uiPriority w:val="0"/>
    <w:rPr>
      <w:rFonts w:eastAsia="Tahoma"/>
      <w:sz w:val="28"/>
    </w:rPr>
  </w:style>
  <w:style w:type="paragraph" w:customStyle="1" w:styleId="183">
    <w:name w:val="报告表文字1"/>
    <w:basedOn w:val="1"/>
    <w:autoRedefine/>
    <w:qFormat/>
    <w:uiPriority w:val="99"/>
    <w:pPr>
      <w:spacing w:line="240" w:lineRule="auto"/>
      <w:jc w:val="center"/>
    </w:pPr>
    <w:rPr>
      <w:rFonts w:ascii="宋体" w:hAnsi="宋体" w:eastAsia="宋体"/>
    </w:rPr>
  </w:style>
  <w:style w:type="character" w:customStyle="1" w:styleId="184">
    <w:name w:val="标题 1 字符"/>
    <w:autoRedefine/>
    <w:qFormat/>
    <w:uiPriority w:val="9"/>
    <w:rPr>
      <w:rFonts w:ascii="Times New Roman" w:hAnsi="Times New Roman" w:eastAsia="宋体" w:cs="Times New Roman"/>
      <w:b/>
      <w:bCs/>
      <w:kern w:val="44"/>
      <w:sz w:val="44"/>
      <w:szCs w:val="44"/>
    </w:rPr>
  </w:style>
  <w:style w:type="table" w:customStyle="1" w:styleId="185">
    <w:name w:val="wo"/>
    <w:basedOn w:val="32"/>
    <w:autoRedefine/>
    <w:qFormat/>
    <w:uiPriority w:val="0"/>
    <w:pPr>
      <w:widowControl w:val="0"/>
      <w:jc w:val="center"/>
    </w:pPr>
    <w:rPr>
      <w:sz w:val="21"/>
    </w:rPr>
    <w:tblPr>
      <w:jc w:val="center"/>
    </w:tblPr>
    <w:trPr>
      <w:cantSplit/>
      <w:jc w:val="center"/>
    </w:trPr>
    <w:tcPr>
      <w:tcMar>
        <w:left w:w="0" w:type="dxa"/>
        <w:right w:w="0" w:type="dxa"/>
      </w:tcMar>
      <w:vAlign w:val="center"/>
    </w:tcPr>
  </w:style>
  <w:style w:type="character" w:customStyle="1" w:styleId="186">
    <w:name w:val="普通(网站) 字符"/>
    <w:autoRedefine/>
    <w:qFormat/>
    <w:locked/>
    <w:uiPriority w:val="99"/>
    <w:rPr>
      <w:rFonts w:ascii="宋体" w:hAnsi="宋体" w:eastAsia="宋体"/>
      <w:sz w:val="24"/>
    </w:rPr>
  </w:style>
  <w:style w:type="paragraph" w:customStyle="1" w:styleId="187">
    <w:name w:val="TOC 标题3"/>
    <w:basedOn w:val="2"/>
    <w:next w:val="1"/>
    <w:autoRedefine/>
    <w:semiHidden/>
    <w:unhideWhenUsed/>
    <w:qFormat/>
    <w:uiPriority w:val="39"/>
    <w:pPr>
      <w:keepLines/>
      <w:widowControl/>
      <w:overflowPunct/>
      <w:snapToGrid/>
      <w:spacing w:before="480" w:after="0" w:line="276" w:lineRule="auto"/>
      <w:ind w:left="0" w:firstLine="0"/>
      <w:jc w:val="left"/>
      <w:outlineLvl w:val="9"/>
    </w:pPr>
    <w:rPr>
      <w:rFonts w:asciiTheme="majorHAnsi" w:hAnsiTheme="majorHAnsi" w:eastAsiaTheme="majorEastAsia" w:cstheme="majorBidi"/>
      <w:color w:val="2F5597"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png"/><Relationship Id="rId17" Type="http://schemas.openxmlformats.org/officeDocument/2006/relationships/image" Target="media/image6.wmf"/><Relationship Id="rId16" Type="http://schemas.openxmlformats.org/officeDocument/2006/relationships/oleObject" Target="embeddings/oleObject3.bin"/><Relationship Id="rId15" Type="http://schemas.openxmlformats.org/officeDocument/2006/relationships/image" Target="media/image5.wmf"/><Relationship Id="rId14" Type="http://schemas.openxmlformats.org/officeDocument/2006/relationships/oleObject" Target="embeddings/oleObject2.bin"/><Relationship Id="rId13" Type="http://schemas.openxmlformats.org/officeDocument/2006/relationships/image" Target="media/image4.emf"/><Relationship Id="rId12" Type="http://schemas.openxmlformats.org/officeDocument/2006/relationships/image" Target="media/image3.e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DD7185-FE7D-4009-99D0-DCAE7754ED16}">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72</Pages>
  <Words>40942</Words>
  <Characters>46057</Characters>
  <Lines>373</Lines>
  <Paragraphs>105</Paragraphs>
  <TotalTime>27</TotalTime>
  <ScaleCrop>false</ScaleCrop>
  <LinksUpToDate>false</LinksUpToDate>
  <CharactersWithSpaces>46180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2023-12-04T02:27:00Z</dcterms:created>
  <dc:creator>王 晨林</dc:creator>
  <cp:lastModifiedBy>xjian</cp:lastModifiedBy>
  <dcterms:modified xsi:type="dcterms:W3CDTF">2024-03-18T05:59:39Z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AF64ADCA41DF42608E3A867B6FFEC958_13</vt:lpwstr>
  </property>
</Properties>
</file>